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Default="00416340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Kraków 13.04.2016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>.</w:t>
      </w:r>
    </w:p>
    <w:p w:rsidR="002B16E0" w:rsidRDefault="00416340">
      <w:pPr>
        <w:rPr>
          <w:rFonts w:cs="Arial"/>
        </w:rPr>
      </w:pPr>
      <w:r>
        <w:rPr>
          <w:rFonts w:cs="Arial"/>
        </w:rPr>
        <w:t>Informacja prasowa</w:t>
      </w:r>
    </w:p>
    <w:p w:rsidR="002B16E0" w:rsidRDefault="004163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 S.A. </w:t>
      </w:r>
      <w:proofErr w:type="gramStart"/>
      <w:r>
        <w:rPr>
          <w:b/>
          <w:bCs/>
          <w:sz w:val="28"/>
          <w:szCs w:val="28"/>
        </w:rPr>
        <w:t>zawiesza</w:t>
      </w:r>
      <w:proofErr w:type="gramEnd"/>
      <w:r>
        <w:rPr>
          <w:b/>
          <w:bCs/>
          <w:sz w:val="28"/>
          <w:szCs w:val="28"/>
        </w:rPr>
        <w:t xml:space="preserve"> Ofertę Publiczną przed rozpoczęciem zapisów</w:t>
      </w:r>
    </w:p>
    <w:p w:rsidR="002B16E0" w:rsidRDefault="00416340">
      <w:pPr>
        <w:pStyle w:val="Tekstpodstawowy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Biuro Inwestycji Kapitałowych S.A. </w:t>
      </w:r>
      <w:proofErr w:type="gramStart"/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Belancor Sp. z o.</w:t>
      </w: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>.(</w:t>
      </w:r>
      <w:proofErr w:type="gramStart"/>
      <w:r>
        <w:rPr>
          <w:b/>
          <w:sz w:val="24"/>
          <w:szCs w:val="24"/>
        </w:rPr>
        <w:t>sprzedający</w:t>
      </w:r>
      <w:proofErr w:type="gramEnd"/>
      <w:r>
        <w:rPr>
          <w:b/>
          <w:sz w:val="24"/>
          <w:szCs w:val="24"/>
        </w:rPr>
        <w:t xml:space="preserve">), w uzgodnieniu z oferującym podjęli decyzję o zawieszeniu Oferty Publicznej. Głównym powodem było zbyt wysokie </w:t>
      </w:r>
      <w:proofErr w:type="gramStart"/>
      <w:r>
        <w:rPr>
          <w:b/>
          <w:sz w:val="24"/>
          <w:szCs w:val="24"/>
        </w:rPr>
        <w:t>dyskonto jakiego</w:t>
      </w:r>
      <w:proofErr w:type="gramEnd"/>
      <w:r>
        <w:rPr>
          <w:b/>
          <w:sz w:val="24"/>
          <w:szCs w:val="24"/>
        </w:rPr>
        <w:t xml:space="preserve"> oczekiwali Inwestorzy uczestniczący w procesie </w:t>
      </w:r>
      <w:proofErr w:type="spellStart"/>
      <w:r>
        <w:rPr>
          <w:b/>
          <w:sz w:val="24"/>
          <w:szCs w:val="24"/>
        </w:rPr>
        <w:t>book-buildingu</w:t>
      </w:r>
      <w:proofErr w:type="spellEnd"/>
      <w:r>
        <w:rPr>
          <w:b/>
          <w:sz w:val="24"/>
          <w:szCs w:val="24"/>
        </w:rPr>
        <w:t>. Zarząd dewelopera oraz sprzedający rozważą powrót do IPO w sytuacji poprawy koniunktury na rynku kapitałowym.</w:t>
      </w:r>
    </w:p>
    <w:p w:rsidR="002B16E0" w:rsidRDefault="00416340">
      <w:pPr>
        <w:jc w:val="both"/>
        <w:rPr>
          <w:rFonts w:cs="Calibri"/>
        </w:rPr>
      </w:pPr>
      <w:r>
        <w:rPr>
          <w:rFonts w:cs="Calibri"/>
        </w:rPr>
        <w:t xml:space="preserve">Biuro Inwestycji Kapitałowych S.A. </w:t>
      </w:r>
      <w:proofErr w:type="gramStart"/>
      <w:r>
        <w:rPr>
          <w:rFonts w:cs="Calibri"/>
        </w:rPr>
        <w:t>oraz</w:t>
      </w:r>
      <w:proofErr w:type="gramEnd"/>
      <w:r>
        <w:rPr>
          <w:rFonts w:cs="Calibri"/>
        </w:rPr>
        <w:t xml:space="preserve"> Belancor Sp. z o.</w:t>
      </w:r>
      <w:proofErr w:type="gramStart"/>
      <w:r>
        <w:rPr>
          <w:rFonts w:cs="Calibri"/>
        </w:rPr>
        <w:t>o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podjęli</w:t>
      </w:r>
      <w:proofErr w:type="gramEnd"/>
      <w:r>
        <w:rPr>
          <w:rFonts w:cs="Calibri"/>
        </w:rPr>
        <w:t xml:space="preserve"> decyzję dotyczą zawieszenia Publicznej Oferty Akcji. Decyzja została podjęta na podstawie efektów prowadzonego </w:t>
      </w:r>
      <w:proofErr w:type="gramStart"/>
      <w:r>
        <w:rPr>
          <w:rFonts w:cs="Calibri"/>
        </w:rPr>
        <w:t>w  dniach</w:t>
      </w:r>
      <w:proofErr w:type="gramEnd"/>
      <w:r>
        <w:rPr>
          <w:rFonts w:cs="Calibri"/>
        </w:rPr>
        <w:t xml:space="preserve"> 11-12 kwietnia 2016 r. procesu </w:t>
      </w:r>
      <w:proofErr w:type="spellStart"/>
      <w:r>
        <w:rPr>
          <w:rFonts w:cs="Calibri"/>
        </w:rPr>
        <w:t>book-buildingu</w:t>
      </w:r>
      <w:proofErr w:type="spellEnd"/>
      <w:r>
        <w:rPr>
          <w:rFonts w:cs="Calibri"/>
        </w:rPr>
        <w:t>. Nowy harmonogram IPO ma zostać przedstawiony w późniejszym terminie. </w:t>
      </w:r>
    </w:p>
    <w:p w:rsidR="002B16E0" w:rsidRDefault="00416340">
      <w:pPr>
        <w:jc w:val="both"/>
      </w:pPr>
      <w:r>
        <w:rPr>
          <w:i/>
        </w:rPr>
        <w:t xml:space="preserve">„W ramach spotkań z inwestorami spotkaliśmy się z dużym zainteresowaniem naszą ofertą. Doceniali Oni nasz model biznesu i dobre perspektywy rozwoju. Jednak ze względu na wymagającą sytuację na rynku kapitałowym oczekiwane było zbyt duże dyskonto do wartości firmy, które implikowało cenę </w:t>
      </w:r>
      <w:proofErr w:type="gramStart"/>
      <w:r>
        <w:rPr>
          <w:i/>
        </w:rPr>
        <w:t>emisyjną</w:t>
      </w:r>
      <w:proofErr w:type="gramEnd"/>
      <w:r>
        <w:rPr>
          <w:i/>
        </w:rPr>
        <w:t xml:space="preserve"> oraz cenę sprzedaży akcji na nieakceptowanym przez nas poziomie, a tym samym byłoby szkodliwe z punktu widzenia interesów obecnych akcjonariuszy, spółki i dalszego rozwoju. Znamy swoją wartość i nie mogliśmy zgodzić się na takie warunki. Nie rezygnujemy całkowicie z przeprowadzenia Oferty Publicznej i planów debiutu giełdowego. Rozważymy powrót do IPO w sytuacji lepszej koniunktury na rynku kapitałowym”</w:t>
      </w:r>
      <w:r>
        <w:t xml:space="preserve"> – powiedział Mirosław Koszany, Prezes Zarządu BIK S.A.</w:t>
      </w:r>
    </w:p>
    <w:p w:rsidR="002B16E0" w:rsidRDefault="00416340">
      <w:pPr>
        <w:autoSpaceDE w:val="0"/>
        <w:jc w:val="both"/>
      </w:pPr>
      <w:r>
        <w:t xml:space="preserve">Na podstawie Prospektu Emisyjnego, </w:t>
      </w:r>
      <w:r>
        <w:rPr>
          <w:rFonts w:cs="Calibri"/>
        </w:rPr>
        <w:t xml:space="preserve">zatwierdzonego przez Komisję Nadzoru Finansowego w dniu 8 grudnia 2015 r., </w:t>
      </w:r>
      <w:r>
        <w:t xml:space="preserve">oferowanych było 1.130.000 </w:t>
      </w:r>
      <w:proofErr w:type="gramStart"/>
      <w:r>
        <w:t>nowych</w:t>
      </w:r>
      <w:proofErr w:type="gramEnd"/>
      <w:r>
        <w:t xml:space="preserve"> akcji serii I oraz sprzedawanych było do 569.606 </w:t>
      </w:r>
      <w:proofErr w:type="gramStart"/>
      <w:r>
        <w:t>istniejących</w:t>
      </w:r>
      <w:proofErr w:type="gramEnd"/>
      <w:r>
        <w:t xml:space="preserve"> akcji serii H. Biuro Inwestycji Kapitałowych S.A. </w:t>
      </w:r>
      <w:proofErr w:type="gramStart"/>
      <w:r>
        <w:t>oczekiwało</w:t>
      </w:r>
      <w:proofErr w:type="gramEnd"/>
      <w:r>
        <w:t xml:space="preserve"> wpływów z emisji akcji serii I na poziomie około 23,7 mln zł brutto. Wpływy netto zostały oszacowane na poziomie ok. 22,5 mln zł. Celem emisyjnym była rozbudowa Centrum Logistycznego w Sosnowcu, budowa Centrum Logistycznego Kraków III oraz budowa Parku Handlowego w Dzierżoniowie. Zarząd BIK S.A. </w:t>
      </w:r>
      <w:proofErr w:type="gramStart"/>
      <w:r>
        <w:t>zamierza</w:t>
      </w:r>
      <w:proofErr w:type="gramEnd"/>
      <w:r>
        <w:t xml:space="preserve"> kontynuować realizację przygotowywanych projektów i finansować je z alternatywnych źródeł. W zakresie rozbudowy Centrum Logistycznego w Sosnowcu oraz budowy Centrum Logistycznego Kraków III poniesione już zostały nakłady m.in. na zakup gruntów, uzbrojenie terenu i wstępne przygotowanie projektów. </w:t>
      </w:r>
      <w:r>
        <w:rPr>
          <w:i/>
        </w:rPr>
        <w:t>„Jeszcze w tym roku rozpoczniemy rozbudowę Centrum Logistycznego w Sosnowcu finansując inwestycję z własnych środków generowanych z bieżącej działalności”</w:t>
      </w:r>
      <w:r>
        <w:t xml:space="preserve"> – dodał Mirosław Koszany.</w:t>
      </w:r>
    </w:p>
    <w:p w:rsidR="002B16E0" w:rsidRDefault="00416340">
      <w:pPr>
        <w:autoSpaceDE w:val="0"/>
        <w:jc w:val="both"/>
      </w:pPr>
      <w:r>
        <w:t>Grupa zarządza aktualnie trzema parkami logistycznymi: Centrum Logistycznym Kraków I, Centrum Logistycznym Kraków II oraz Śląskim Centrum Logistycznym w Sosnowcu o łącznej powierzchni najmu wynoszącej 55,8 tys. m</w:t>
      </w:r>
      <w:r>
        <w:rPr>
          <w:vertAlign w:val="superscript"/>
        </w:rPr>
        <w:t>2</w:t>
      </w:r>
      <w:r>
        <w:t>. W ramach dywersyfikacji działalności zajmuje się także budową i wynajmem nowoczesnych powierzchni handlowych w segmencie parków handlowych (</w:t>
      </w:r>
      <w:proofErr w:type="spellStart"/>
      <w:r>
        <w:t>retail</w:t>
      </w:r>
      <w:proofErr w:type="spellEnd"/>
      <w:r>
        <w:t xml:space="preserve"> parków). Dotychczas zrealizowane zostały dwa </w:t>
      </w:r>
      <w:proofErr w:type="spellStart"/>
      <w:r>
        <w:t>retail</w:t>
      </w:r>
      <w:proofErr w:type="spellEnd"/>
      <w:r>
        <w:t xml:space="preserve"> parki: w Puławach i Bielsku-Białej.</w:t>
      </w:r>
    </w:p>
    <w:p w:rsidR="002B16E0" w:rsidRDefault="00416340">
      <w:pPr>
        <w:spacing w:line="240" w:lineRule="auto"/>
        <w:jc w:val="center"/>
      </w:pPr>
      <w:r>
        <w:rPr>
          <w:sz w:val="24"/>
          <w:szCs w:val="24"/>
        </w:rPr>
        <w:lastRenderedPageBreak/>
        <w:t>***</w:t>
      </w:r>
      <w:r>
        <w:rPr>
          <w:sz w:val="16"/>
          <w:szCs w:val="16"/>
        </w:rPr>
        <w:t xml:space="preserve"> </w:t>
      </w:r>
    </w:p>
    <w:p w:rsidR="002B16E0" w:rsidRDefault="00416340">
      <w:pPr>
        <w:jc w:val="both"/>
      </w:pPr>
      <w:r>
        <w:rPr>
          <w:i/>
          <w:iCs/>
          <w:sz w:val="16"/>
          <w:szCs w:val="16"/>
        </w:rPr>
        <w:t>Niniejsza informacja jest materiałem reklamowym i promocyjnym w rozumieniu art. 53 ustawy z dnia 29 lipca 2005 r. o ofercie publicznej i warunkach wprowadzania instrumentów finansowych do zorganizowanego systemu obrotu oraz o spółkach publicznych (tekst jednolity Dz.U. z 2013 roku poz</w:t>
      </w:r>
      <w:proofErr w:type="gramStart"/>
      <w:r>
        <w:rPr>
          <w:i/>
          <w:iCs/>
          <w:sz w:val="16"/>
          <w:szCs w:val="16"/>
        </w:rPr>
        <w:t xml:space="preserve">. 1382). </w:t>
      </w:r>
      <w:r>
        <w:rPr>
          <w:i/>
          <w:sz w:val="16"/>
          <w:szCs w:val="16"/>
        </w:rPr>
        <w:t>Niniejszy</w:t>
      </w:r>
      <w:proofErr w:type="gramEnd"/>
      <w:r>
        <w:rPr>
          <w:i/>
          <w:sz w:val="16"/>
          <w:szCs w:val="16"/>
        </w:rPr>
        <w:t xml:space="preserve"> materiał w żadnym przypadku nie stanowi oferty ani zaproszenia, jak również podstaw podjęcia decyzji w przedmiocie inwestowania w papiery wartościowe </w:t>
      </w:r>
      <w:r>
        <w:rPr>
          <w:i/>
          <w:iCs/>
          <w:sz w:val="16"/>
          <w:szCs w:val="16"/>
        </w:rPr>
        <w:t>Biura Inwestycji Kapitałowych S.A.</w:t>
      </w:r>
    </w:p>
    <w:p w:rsidR="002B16E0" w:rsidRDefault="00416340">
      <w:pPr>
        <w:jc w:val="both"/>
      </w:pPr>
      <w:r>
        <w:rPr>
          <w:i/>
          <w:sz w:val="16"/>
          <w:szCs w:val="16"/>
        </w:rPr>
        <w:t xml:space="preserve">Prospekt Emisyjny, sporządzony w związku z ofertą publiczną akcji Biura Inwestycji Kapitałowych S.A. </w:t>
      </w:r>
      <w:proofErr w:type="gramStart"/>
      <w:r>
        <w:rPr>
          <w:i/>
          <w:sz w:val="16"/>
          <w:szCs w:val="16"/>
        </w:rPr>
        <w:t>i</w:t>
      </w:r>
      <w:proofErr w:type="gramEnd"/>
      <w:r>
        <w:rPr>
          <w:i/>
          <w:sz w:val="16"/>
          <w:szCs w:val="16"/>
        </w:rPr>
        <w:t xml:space="preserve"> ubieganiem się o dopuszczenie oraz wprowadzenie papierów wartościowych Biura Inwestycji Kapitałowych</w:t>
      </w:r>
      <w:r>
        <w:rPr>
          <w:i/>
          <w:iCs/>
          <w:sz w:val="16"/>
          <w:szCs w:val="16"/>
        </w:rPr>
        <w:t xml:space="preserve"> S.A. </w:t>
      </w:r>
      <w:proofErr w:type="gramStart"/>
      <w:r>
        <w:rPr>
          <w:i/>
          <w:sz w:val="16"/>
          <w:szCs w:val="16"/>
        </w:rPr>
        <w:t>do</w:t>
      </w:r>
      <w:proofErr w:type="gramEnd"/>
      <w:r>
        <w:rPr>
          <w:i/>
          <w:sz w:val="16"/>
          <w:szCs w:val="16"/>
        </w:rPr>
        <w:t xml:space="preserve"> obrotu na Giełdzie Papierów Wartościowych w Warszawie S.A., </w:t>
      </w:r>
      <w:proofErr w:type="gramStart"/>
      <w:r>
        <w:rPr>
          <w:i/>
          <w:sz w:val="16"/>
          <w:szCs w:val="16"/>
        </w:rPr>
        <w:t>który</w:t>
      </w:r>
      <w:proofErr w:type="gramEnd"/>
      <w:r>
        <w:rPr>
          <w:i/>
          <w:sz w:val="16"/>
          <w:szCs w:val="16"/>
        </w:rPr>
        <w:t xml:space="preserve"> w dniu 08.12.2015 </w:t>
      </w:r>
      <w:proofErr w:type="gramStart"/>
      <w:r>
        <w:rPr>
          <w:i/>
          <w:sz w:val="16"/>
          <w:szCs w:val="16"/>
        </w:rPr>
        <w:t>r</w:t>
      </w:r>
      <w:proofErr w:type="gramEnd"/>
      <w:r>
        <w:rPr>
          <w:i/>
          <w:sz w:val="16"/>
          <w:szCs w:val="16"/>
        </w:rPr>
        <w:t xml:space="preserve">. został zatwierdzony przez Komisję Nadzoru Finansowego, jest jedynym prawnie wiążącym dokumentem zawierającym informacje o Biurze Inwestycji Kapitałowych S.A. </w:t>
      </w:r>
      <w:proofErr w:type="gramStart"/>
      <w:r>
        <w:rPr>
          <w:i/>
          <w:sz w:val="16"/>
          <w:szCs w:val="16"/>
        </w:rPr>
        <w:t>i</w:t>
      </w:r>
      <w:proofErr w:type="gramEnd"/>
      <w:r>
        <w:rPr>
          <w:i/>
          <w:sz w:val="16"/>
          <w:szCs w:val="16"/>
        </w:rPr>
        <w:t xml:space="preserve"> ofercie publicznej. Prospekt Emisyjny udostępniono na stronie internetowej Biura Inwestycji Kapitałowych S.A. </w:t>
      </w:r>
      <w:hyperlink r:id="rId6" w:history="1">
        <w:r>
          <w:rPr>
            <w:rStyle w:val="Hipercze"/>
            <w:i/>
            <w:sz w:val="16"/>
            <w:szCs w:val="16"/>
          </w:rPr>
          <w:t>www.bik.com.pl</w:t>
        </w:r>
      </w:hyperlink>
      <w:r>
        <w:rPr>
          <w:i/>
          <w:iCs/>
          <w:sz w:val="16"/>
          <w:szCs w:val="16"/>
        </w:rPr>
        <w:t xml:space="preserve"> i na stronie internetowej Domu Maklerskiego BDM S.A. </w:t>
      </w:r>
      <w:proofErr w:type="gramStart"/>
      <w:r>
        <w:rPr>
          <w:i/>
          <w:iCs/>
          <w:sz w:val="16"/>
          <w:szCs w:val="16"/>
        </w:rPr>
        <w:t>pod</w:t>
      </w:r>
      <w:proofErr w:type="gramEnd"/>
      <w:r>
        <w:rPr>
          <w:i/>
          <w:iCs/>
          <w:sz w:val="16"/>
          <w:szCs w:val="16"/>
        </w:rPr>
        <w:t xml:space="preserve"> adresem </w:t>
      </w:r>
      <w:hyperlink r:id="rId7" w:history="1">
        <w:r>
          <w:rPr>
            <w:rStyle w:val="Hipercze"/>
            <w:i/>
            <w:iCs/>
            <w:sz w:val="16"/>
            <w:szCs w:val="16"/>
          </w:rPr>
          <w:t>www.bdm.pl</w:t>
        </w:r>
      </w:hyperlink>
      <w:r>
        <w:rPr>
          <w:i/>
          <w:sz w:val="16"/>
          <w:szCs w:val="16"/>
        </w:rPr>
        <w:t>, na których to stronach znajdą się ewentualne aneksy i komunikaty aktualizujące do Prospektu Emisyjnego. Niniejszy materiał nie stanowi rekomendacji w rozumieniu rozporządzenia Ministra Finansów z dnia 19 października 2005 roku w sprawie informacji stanowiących rekomendacje dotyczącą instrumentów finansowych, ich emitentów lub wystawców. Niniejszy materiał nie może być rozpowszechniany w Stanach Zjednoczonych Ameryki, Australii, Kanadzie i Japonii ani jakiejkolwiek innej jurysdykcji, w której stanowiłoby to naruszenie właściwych przepisów prawa lub wymagałoby rejestracji.</w:t>
      </w:r>
    </w:p>
    <w:p w:rsidR="002B16E0" w:rsidRDefault="002B16E0">
      <w:pPr>
        <w:rPr>
          <w:b/>
          <w:sz w:val="18"/>
          <w:szCs w:val="18"/>
        </w:rPr>
      </w:pPr>
    </w:p>
    <w:p w:rsidR="002B16E0" w:rsidRDefault="002B16E0">
      <w:pPr>
        <w:rPr>
          <w:b/>
          <w:sz w:val="18"/>
          <w:szCs w:val="18"/>
        </w:rPr>
      </w:pPr>
    </w:p>
    <w:p w:rsidR="002B16E0" w:rsidRDefault="00416340">
      <w:pPr>
        <w:rPr>
          <w:b/>
          <w:sz w:val="18"/>
          <w:szCs w:val="18"/>
        </w:rPr>
      </w:pPr>
      <w:r>
        <w:rPr>
          <w:b/>
          <w:sz w:val="18"/>
          <w:szCs w:val="18"/>
        </w:rPr>
        <w:t>Dodatkowych informacji udzielają:</w:t>
      </w:r>
    </w:p>
    <w:p w:rsidR="002B16E0" w:rsidRDefault="00416340">
      <w:pPr>
        <w:pStyle w:val="Stopka"/>
        <w:rPr>
          <w:sz w:val="18"/>
          <w:szCs w:val="18"/>
        </w:rPr>
      </w:pPr>
      <w:r>
        <w:rPr>
          <w:sz w:val="18"/>
          <w:szCs w:val="18"/>
        </w:rPr>
        <w:t xml:space="preserve">Agencja Tauber </w:t>
      </w:r>
      <w:proofErr w:type="spellStart"/>
      <w:r>
        <w:rPr>
          <w:sz w:val="18"/>
          <w:szCs w:val="18"/>
        </w:rPr>
        <w:t>Promotion</w:t>
      </w:r>
      <w:proofErr w:type="spellEnd"/>
    </w:p>
    <w:p w:rsidR="002B16E0" w:rsidRDefault="002B16E0">
      <w:pPr>
        <w:pStyle w:val="Stopka"/>
        <w:rPr>
          <w:sz w:val="18"/>
          <w:szCs w:val="18"/>
        </w:rPr>
      </w:pPr>
    </w:p>
    <w:p w:rsidR="002B16E0" w:rsidRDefault="00416340">
      <w:pPr>
        <w:pStyle w:val="Stopka"/>
        <w:rPr>
          <w:sz w:val="18"/>
          <w:szCs w:val="18"/>
        </w:rPr>
      </w:pPr>
      <w:r>
        <w:rPr>
          <w:sz w:val="18"/>
          <w:szCs w:val="18"/>
        </w:rPr>
        <w:t>Mariusz Skowronek,</w:t>
      </w:r>
    </w:p>
    <w:p w:rsidR="002B16E0" w:rsidRDefault="00416340">
      <w:pPr>
        <w:pStyle w:val="Stopka"/>
      </w:pPr>
      <w:proofErr w:type="gramStart"/>
      <w:r>
        <w:rPr>
          <w:sz w:val="18"/>
        </w:rPr>
        <w:t>e-mail</w:t>
      </w:r>
      <w:proofErr w:type="gramEnd"/>
      <w:r>
        <w:rPr>
          <w:sz w:val="18"/>
        </w:rPr>
        <w:t xml:space="preserve">: </w:t>
      </w:r>
      <w:hyperlink r:id="rId8" w:history="1">
        <w:r>
          <w:rPr>
            <w:rStyle w:val="Hipercze"/>
            <w:sz w:val="18"/>
          </w:rPr>
          <w:t>mskowronek@tauber.com.pl</w:t>
        </w:r>
      </w:hyperlink>
    </w:p>
    <w:p w:rsidR="002B16E0" w:rsidRDefault="00416340">
      <w:pPr>
        <w:pStyle w:val="Stopka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Tel.: +22 833 35 02; 698 612 866</w:t>
      </w:r>
    </w:p>
    <w:p w:rsidR="002B16E0" w:rsidRDefault="00416340">
      <w:pPr>
        <w:pStyle w:val="Stopka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 </w:t>
      </w:r>
    </w:p>
    <w:p w:rsidR="002B16E0" w:rsidRDefault="00416340">
      <w:pPr>
        <w:pStyle w:val="Stopka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Andrzej Kazimierczak, </w:t>
      </w:r>
    </w:p>
    <w:p w:rsidR="002B16E0" w:rsidRDefault="00416340">
      <w:pPr>
        <w:pStyle w:val="Stopka"/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 xml:space="preserve">: </w:t>
      </w:r>
      <w:hyperlink r:id="rId9" w:history="1">
        <w:r>
          <w:rPr>
            <w:rStyle w:val="Hipercze"/>
            <w:sz w:val="18"/>
            <w:szCs w:val="18"/>
            <w:lang w:val="de-DE"/>
          </w:rPr>
          <w:t>akazimierczak@tauber.com.pl</w:t>
        </w:r>
      </w:hyperlink>
      <w:r>
        <w:rPr>
          <w:sz w:val="18"/>
          <w:szCs w:val="18"/>
          <w:lang w:val="de-DE"/>
        </w:rPr>
        <w:t xml:space="preserve"> </w:t>
      </w:r>
    </w:p>
    <w:p w:rsidR="002B16E0" w:rsidRDefault="00416340">
      <w:pPr>
        <w:pStyle w:val="Stopka"/>
        <w:rPr>
          <w:sz w:val="18"/>
          <w:szCs w:val="18"/>
        </w:rPr>
      </w:pPr>
      <w:r>
        <w:rPr>
          <w:sz w:val="18"/>
          <w:szCs w:val="18"/>
        </w:rPr>
        <w:t>Tel.: +22 833 35 02; 691 507 173</w:t>
      </w:r>
    </w:p>
    <w:p w:rsidR="002B16E0" w:rsidRDefault="002B16E0">
      <w:pPr>
        <w:spacing w:line="240" w:lineRule="auto"/>
        <w:jc w:val="both"/>
      </w:pPr>
    </w:p>
    <w:sectPr w:rsidR="002B16E0" w:rsidSect="002B16E0">
      <w:headerReference w:type="default" r:id="rId10"/>
      <w:footerReference w:type="default" r:id="rId11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0C" w:rsidRDefault="002C450C" w:rsidP="002B16E0">
      <w:pPr>
        <w:spacing w:after="0" w:line="240" w:lineRule="auto"/>
      </w:pPr>
      <w:r>
        <w:separator/>
      </w:r>
    </w:p>
  </w:endnote>
  <w:endnote w:type="continuationSeparator" w:id="0">
    <w:p w:rsidR="002C450C" w:rsidRDefault="002C450C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E0" w:rsidRDefault="002B16E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14602</wp:posOffset>
          </wp:positionH>
          <wp:positionV relativeFrom="paragraph">
            <wp:posOffset>213686</wp:posOffset>
          </wp:positionV>
          <wp:extent cx="5762621" cy="428625"/>
          <wp:effectExtent l="0" t="0" r="0" b="0"/>
          <wp:wrapNone/>
          <wp:docPr id="2" name="Obraz 1" descr="2 strona do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1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0C" w:rsidRDefault="002C450C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2C450C" w:rsidRDefault="002C450C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E0" w:rsidRDefault="002B16E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14602</wp:posOffset>
          </wp:positionH>
          <wp:positionV relativeFrom="paragraph">
            <wp:posOffset>-449583</wp:posOffset>
          </wp:positionV>
          <wp:extent cx="5761350" cy="1168402"/>
          <wp:effectExtent l="0" t="0" r="0" b="0"/>
          <wp:wrapTight wrapText="bothSides">
            <wp:wrapPolygon edited="0">
              <wp:start x="-71" y="0"/>
              <wp:lineTo x="-71" y="21130"/>
              <wp:lineTo x="21569" y="21130"/>
              <wp:lineTo x="21569" y="0"/>
              <wp:lineTo x="-71" y="0"/>
            </wp:wrapPolygon>
          </wp:wrapTight>
          <wp:docPr id="1" name="Obraz 6" descr="formatka3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1168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E0"/>
    <w:rsid w:val="002B16E0"/>
    <w:rsid w:val="002C450C"/>
    <w:rsid w:val="00416340"/>
    <w:rsid w:val="004A7F79"/>
    <w:rsid w:val="005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C7DE-0CD4-45D0-9C18-A97188DE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basedOn w:val="Domylnaczcionkaakapitu"/>
    <w:rsid w:val="002B16E0"/>
    <w:rPr>
      <w:sz w:val="20"/>
      <w:szCs w:val="20"/>
    </w:rPr>
  </w:style>
  <w:style w:type="character" w:styleId="Hipercze">
    <w:name w:val="Hyperlink"/>
    <w:basedOn w:val="Domylnaczcionkaakapitu"/>
    <w:rsid w:val="002B16E0"/>
    <w:rPr>
      <w:color w:val="0000FF"/>
      <w:u w:val="single"/>
    </w:rPr>
  </w:style>
  <w:style w:type="character" w:styleId="Pogrubienie">
    <w:name w:val="Strong"/>
    <w:basedOn w:val="Domylnaczcionkaakapitu"/>
    <w:rsid w:val="002B16E0"/>
    <w:rPr>
      <w:b/>
      <w:bCs/>
    </w:rPr>
  </w:style>
  <w:style w:type="character" w:styleId="Odwoaniedokomentarza">
    <w:name w:val="annotation reference"/>
    <w:basedOn w:val="Domylnaczcionkaakapitu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basedOn w:val="Tekstkomentarza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spacing w:after="0" w:line="240" w:lineRule="auto"/>
    </w:p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basedOn w:val="Domylnaczcionkaakapitu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2B16E0"/>
    <w:rPr>
      <w:sz w:val="20"/>
      <w:szCs w:val="20"/>
    </w:rPr>
  </w:style>
  <w:style w:type="character" w:styleId="Odwoanieprzypisukocowego">
    <w:name w:val="endnote reference"/>
    <w:basedOn w:val="Domylnaczcionkaakapitu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dm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com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kazimierczak@tauber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Piotr Jaśniak</cp:lastModifiedBy>
  <cp:revision>2</cp:revision>
  <dcterms:created xsi:type="dcterms:W3CDTF">2016-04-13T06:49:00Z</dcterms:created>
  <dcterms:modified xsi:type="dcterms:W3CDTF">2016-04-13T06:49:00Z</dcterms:modified>
</cp:coreProperties>
</file>