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bookmarkStart w:id="0" w:name="_GoBack"/>
      <w:bookmarkEnd w:id="0"/>
      <w:r w:rsidRPr="009B4AA5">
        <w:rPr>
          <w:sz w:val="20"/>
          <w:szCs w:val="20"/>
        </w:rPr>
        <w:t xml:space="preserve">Kraków </w:t>
      </w:r>
      <w:r w:rsidR="0063144C">
        <w:rPr>
          <w:sz w:val="20"/>
          <w:szCs w:val="20"/>
        </w:rPr>
        <w:t>14.12.</w:t>
      </w:r>
      <w:r w:rsidR="00C03706" w:rsidRPr="009B4AA5">
        <w:rPr>
          <w:sz w:val="20"/>
          <w:szCs w:val="20"/>
        </w:rPr>
        <w:t>201</w:t>
      </w:r>
      <w:r w:rsidR="00FE4045">
        <w:rPr>
          <w:sz w:val="20"/>
          <w:szCs w:val="20"/>
        </w:rPr>
        <w:t>5</w:t>
      </w:r>
      <w:r w:rsidR="00C03706" w:rsidRPr="009B4AA5">
        <w:rPr>
          <w:sz w:val="20"/>
          <w:szCs w:val="20"/>
        </w:rPr>
        <w:t xml:space="preserve"> r.</w:t>
      </w:r>
    </w:p>
    <w:p w:rsidR="0078668B" w:rsidRDefault="0078668B" w:rsidP="006A0C2F">
      <w:pPr>
        <w:spacing w:line="240" w:lineRule="auto"/>
        <w:rPr>
          <w:rFonts w:cs="Arial"/>
        </w:rPr>
      </w:pPr>
    </w:p>
    <w:p w:rsidR="006A0C2F" w:rsidRPr="006A0C2F" w:rsidRDefault="006A0C2F" w:rsidP="006A0C2F">
      <w:pPr>
        <w:spacing w:line="240" w:lineRule="auto"/>
        <w:rPr>
          <w:rFonts w:cs="Arial"/>
        </w:rPr>
      </w:pPr>
      <w:r w:rsidRPr="006A0C2F">
        <w:rPr>
          <w:rFonts w:cs="Arial"/>
        </w:rPr>
        <w:t>Informacja prasowa</w:t>
      </w:r>
    </w:p>
    <w:p w:rsidR="00ED142A" w:rsidRDefault="003E33EC" w:rsidP="009044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Publikacja prospektu emisyjnego BIK S.A.</w:t>
      </w:r>
    </w:p>
    <w:p w:rsidR="003E33EC" w:rsidRPr="0032614F" w:rsidRDefault="003E33EC" w:rsidP="003E33EC">
      <w:pPr>
        <w:pStyle w:val="Tekstpodstawowy"/>
        <w:jc w:val="both"/>
        <w:rPr>
          <w:b/>
          <w:sz w:val="24"/>
          <w:szCs w:val="24"/>
        </w:rPr>
      </w:pPr>
      <w:r w:rsidRPr="0032614F">
        <w:rPr>
          <w:b/>
          <w:sz w:val="24"/>
          <w:szCs w:val="24"/>
        </w:rPr>
        <w:t xml:space="preserve">Prospekt emisyjny Biura Inwestycji Kapitałowych S.A. zatwierdzony przez Komisję Nadzoru Finansowego został opublikowany </w:t>
      </w:r>
      <w:r w:rsidR="0063144C">
        <w:rPr>
          <w:b/>
          <w:sz w:val="24"/>
          <w:szCs w:val="24"/>
        </w:rPr>
        <w:t>14 grudnia 2015 r</w:t>
      </w:r>
      <w:r w:rsidRPr="0032614F">
        <w:rPr>
          <w:b/>
          <w:sz w:val="24"/>
          <w:szCs w:val="24"/>
        </w:rPr>
        <w:t xml:space="preserve">. Zapisy w Transzy Inwestorów Indywidualnych będą prowadzone </w:t>
      </w:r>
      <w:r w:rsidR="00BE5870">
        <w:rPr>
          <w:b/>
          <w:sz w:val="24"/>
          <w:szCs w:val="24"/>
        </w:rPr>
        <w:t xml:space="preserve">w dniach </w:t>
      </w:r>
      <w:r w:rsidR="0063144C">
        <w:rPr>
          <w:b/>
          <w:sz w:val="24"/>
          <w:szCs w:val="24"/>
        </w:rPr>
        <w:t>27 stycznia – 01 lutego 2016 r</w:t>
      </w:r>
      <w:r w:rsidRPr="0032614F">
        <w:rPr>
          <w:b/>
          <w:sz w:val="24"/>
          <w:szCs w:val="24"/>
        </w:rPr>
        <w:t xml:space="preserve">. Debiut akcji dewelopera powierzchni komercyjnych na Giełdzie Papierów Wartościowych w Warszawie planowany </w:t>
      </w:r>
      <w:r w:rsidR="0032614F" w:rsidRPr="0032614F">
        <w:rPr>
          <w:b/>
          <w:sz w:val="24"/>
          <w:szCs w:val="24"/>
        </w:rPr>
        <w:t xml:space="preserve">jest </w:t>
      </w:r>
      <w:r w:rsidR="004D1E33">
        <w:rPr>
          <w:b/>
          <w:sz w:val="24"/>
          <w:szCs w:val="24"/>
        </w:rPr>
        <w:t>w</w:t>
      </w:r>
      <w:r w:rsidR="0063144C">
        <w:rPr>
          <w:b/>
          <w:sz w:val="24"/>
          <w:szCs w:val="24"/>
        </w:rPr>
        <w:t xml:space="preserve"> </w:t>
      </w:r>
      <w:r w:rsidR="004D1E33">
        <w:rPr>
          <w:b/>
          <w:sz w:val="24"/>
          <w:szCs w:val="24"/>
        </w:rPr>
        <w:t xml:space="preserve">połowie </w:t>
      </w:r>
      <w:r w:rsidR="0063144C">
        <w:rPr>
          <w:b/>
          <w:sz w:val="24"/>
          <w:szCs w:val="24"/>
        </w:rPr>
        <w:t>lutego 2016 r.</w:t>
      </w:r>
    </w:p>
    <w:p w:rsidR="00D3706F" w:rsidRPr="004D1E33" w:rsidRDefault="001967E8" w:rsidP="00DA2F1C">
      <w:pPr>
        <w:autoSpaceDE w:val="0"/>
        <w:autoSpaceDN w:val="0"/>
        <w:adjustRightInd w:val="0"/>
        <w:jc w:val="both"/>
        <w:rPr>
          <w:rFonts w:cs="CenturyGothic"/>
          <w:color w:val="000000" w:themeColor="text1"/>
        </w:rPr>
      </w:pPr>
      <w:r w:rsidRPr="001967E8">
        <w:rPr>
          <w:rFonts w:cs="CenturyGothic"/>
          <w:color w:val="000000" w:themeColor="text1"/>
        </w:rPr>
        <w:t>Biuro Inwestycji Kapitałowych S.A. to ogólnopolski deweloper powierzchni komercyjnych, specjalizujący się w budowie i wynajmie nowoczesnych powierzchni magazynowych. Dotychczas  w ramach Grupy Kapitałowej zrealizował inwestycje o łącznej powierzchni ponad 80 tys. m</w:t>
      </w:r>
      <w:r w:rsidRPr="001967E8">
        <w:rPr>
          <w:rFonts w:cs="CenturyGothic"/>
          <w:color w:val="000000" w:themeColor="text1"/>
          <w:vertAlign w:val="superscript"/>
        </w:rPr>
        <w:t>2</w:t>
      </w:r>
      <w:r w:rsidRPr="001967E8">
        <w:rPr>
          <w:rFonts w:cs="CenturyGothic"/>
          <w:color w:val="000000" w:themeColor="text1"/>
        </w:rPr>
        <w:t xml:space="preserve">. </w:t>
      </w:r>
      <w:r w:rsidRPr="001967E8">
        <w:rPr>
          <w:rFonts w:cs="Arial"/>
          <w:color w:val="000000" w:themeColor="text1"/>
        </w:rPr>
        <w:t xml:space="preserve">Grupa zarządza aktualnie trzema parkami logistycznymi: </w:t>
      </w:r>
      <w:r w:rsidRPr="001967E8">
        <w:rPr>
          <w:color w:val="000000" w:themeColor="text1"/>
        </w:rPr>
        <w:t>Centrum Logistycznym Kraków I, Centrum Logistycznym Kraków II oraz Śląskim Centrum Logistycznym</w:t>
      </w:r>
      <w:r w:rsidRPr="001967E8">
        <w:rPr>
          <w:rFonts w:cs="Arial"/>
          <w:color w:val="000000" w:themeColor="text1"/>
        </w:rPr>
        <w:t xml:space="preserve"> w Sosnowcu o łącznej powierzchni najmu wynoszącej 55,8 tys. m</w:t>
      </w:r>
      <w:r w:rsidRPr="001967E8">
        <w:rPr>
          <w:rFonts w:cs="Arial"/>
          <w:color w:val="000000" w:themeColor="text1"/>
          <w:vertAlign w:val="superscript"/>
        </w:rPr>
        <w:t>2</w:t>
      </w:r>
      <w:r w:rsidRPr="001967E8">
        <w:rPr>
          <w:rFonts w:cs="Arial"/>
          <w:color w:val="000000" w:themeColor="text1"/>
        </w:rPr>
        <w:t xml:space="preserve">. </w:t>
      </w:r>
      <w:r w:rsidRPr="001967E8">
        <w:rPr>
          <w:rFonts w:cs="CenturyGothic"/>
          <w:color w:val="000000" w:themeColor="text1"/>
        </w:rPr>
        <w:t>W ramach dywersyfikacji działalności zajmuje się także budową i wynajmem nowoczesnych powierzchni handlowych w segmencie parków handlowych (</w:t>
      </w:r>
      <w:proofErr w:type="spellStart"/>
      <w:r w:rsidRPr="001967E8">
        <w:rPr>
          <w:rFonts w:cs="CenturyGothic"/>
          <w:color w:val="000000" w:themeColor="text1"/>
        </w:rPr>
        <w:t>retail</w:t>
      </w:r>
      <w:proofErr w:type="spellEnd"/>
      <w:r w:rsidRPr="001967E8">
        <w:rPr>
          <w:rFonts w:cs="CenturyGothic"/>
          <w:color w:val="000000" w:themeColor="text1"/>
        </w:rPr>
        <w:t xml:space="preserve"> parków). </w:t>
      </w:r>
      <w:r w:rsidRPr="001967E8">
        <w:rPr>
          <w:color w:val="000000" w:themeColor="text1"/>
        </w:rPr>
        <w:t xml:space="preserve">Dotychczas zrealizowane zostały dwa </w:t>
      </w:r>
      <w:proofErr w:type="spellStart"/>
      <w:r w:rsidRPr="001967E8">
        <w:rPr>
          <w:color w:val="000000" w:themeColor="text1"/>
        </w:rPr>
        <w:t>retail</w:t>
      </w:r>
      <w:proofErr w:type="spellEnd"/>
      <w:r w:rsidRPr="001967E8">
        <w:rPr>
          <w:color w:val="000000" w:themeColor="text1"/>
        </w:rPr>
        <w:t xml:space="preserve"> parki: jeden w Puławach, a drugi w Bielsku-Białej. </w:t>
      </w:r>
    </w:p>
    <w:p w:rsidR="0032614F" w:rsidRPr="00557088" w:rsidRDefault="00E15FCB" w:rsidP="001648BF">
      <w:pPr>
        <w:autoSpaceDE w:val="0"/>
        <w:autoSpaceDN w:val="0"/>
        <w:adjustRightInd w:val="0"/>
        <w:jc w:val="both"/>
      </w:pPr>
      <w:r w:rsidRPr="00B44D99">
        <w:rPr>
          <w:rFonts w:ascii="Calibri" w:hAnsi="Calibri" w:cs="Calibri"/>
          <w:bCs/>
          <w:szCs w:val="20"/>
        </w:rPr>
        <w:t xml:space="preserve">Na podstawie Prospektu </w:t>
      </w:r>
      <w:r w:rsidR="00030767">
        <w:rPr>
          <w:rFonts w:ascii="Calibri" w:hAnsi="Calibri" w:cs="Calibri"/>
          <w:bCs/>
          <w:szCs w:val="20"/>
        </w:rPr>
        <w:t xml:space="preserve">Emisyjnego </w:t>
      </w:r>
      <w:r w:rsidRPr="00B44D99">
        <w:rPr>
          <w:rFonts w:ascii="Calibri" w:hAnsi="Calibri" w:cs="Calibri"/>
          <w:bCs/>
          <w:szCs w:val="20"/>
        </w:rPr>
        <w:t>oferowanych jest</w:t>
      </w:r>
      <w:r>
        <w:rPr>
          <w:rFonts w:ascii="Calibri" w:hAnsi="Calibri" w:cs="Calibri"/>
          <w:bCs/>
          <w:szCs w:val="20"/>
        </w:rPr>
        <w:t xml:space="preserve"> </w:t>
      </w:r>
      <w:r w:rsidRPr="00B44D99">
        <w:rPr>
          <w:rFonts w:ascii="Calibri" w:hAnsi="Calibri" w:cs="Calibri"/>
          <w:bCs/>
          <w:szCs w:val="20"/>
        </w:rPr>
        <w:t xml:space="preserve">1.130.000 </w:t>
      </w:r>
      <w:r w:rsidR="001648BF">
        <w:rPr>
          <w:rFonts w:ascii="Calibri" w:hAnsi="Calibri" w:cs="Calibri"/>
          <w:bCs/>
          <w:szCs w:val="20"/>
        </w:rPr>
        <w:t xml:space="preserve">nowych </w:t>
      </w:r>
      <w:r>
        <w:rPr>
          <w:rFonts w:ascii="Calibri" w:hAnsi="Calibri" w:cs="Calibri"/>
          <w:bCs/>
          <w:szCs w:val="20"/>
        </w:rPr>
        <w:t>a</w:t>
      </w:r>
      <w:r w:rsidRPr="00B44D99">
        <w:rPr>
          <w:rFonts w:ascii="Calibri" w:hAnsi="Calibri" w:cs="Calibri"/>
          <w:bCs/>
          <w:szCs w:val="20"/>
        </w:rPr>
        <w:t>kcji serii I</w:t>
      </w:r>
      <w:r>
        <w:rPr>
          <w:rFonts w:ascii="Calibri" w:hAnsi="Calibri" w:cs="Calibri"/>
          <w:bCs/>
          <w:szCs w:val="20"/>
        </w:rPr>
        <w:t xml:space="preserve"> oraz </w:t>
      </w:r>
      <w:r w:rsidR="00D65553">
        <w:rPr>
          <w:spacing w:val="-6"/>
        </w:rPr>
        <w:t xml:space="preserve">sprzedawanych jest </w:t>
      </w:r>
      <w:r w:rsidR="0032614F" w:rsidRPr="00557088">
        <w:rPr>
          <w:spacing w:val="-6"/>
        </w:rPr>
        <w:t xml:space="preserve">do 569.606 </w:t>
      </w:r>
      <w:r w:rsidR="001648BF">
        <w:rPr>
          <w:spacing w:val="-6"/>
        </w:rPr>
        <w:t xml:space="preserve">istniejących </w:t>
      </w:r>
      <w:r w:rsidR="0032614F" w:rsidRPr="00557088">
        <w:rPr>
          <w:spacing w:val="-6"/>
        </w:rPr>
        <w:t xml:space="preserve">akcji serii H. </w:t>
      </w:r>
      <w:r w:rsidR="0032614F" w:rsidRPr="00557088">
        <w:t xml:space="preserve">Oferowane inwestorom akcje stanowić będą łącznie 27,4% podwyższonego kapitału zakładowego </w:t>
      </w:r>
      <w:r w:rsidR="00030767">
        <w:t>S</w:t>
      </w:r>
      <w:r w:rsidR="0032614F" w:rsidRPr="00557088">
        <w:t xml:space="preserve">półki i </w:t>
      </w:r>
      <w:r w:rsidR="00030767">
        <w:t xml:space="preserve">będą </w:t>
      </w:r>
      <w:r w:rsidR="0032614F" w:rsidRPr="00557088">
        <w:t xml:space="preserve">uprawniać ich właścicieli do wykonywania łącznie 16,6% ogólnej liczby głosów na </w:t>
      </w:r>
      <w:r w:rsidR="00030767">
        <w:t>W</w:t>
      </w:r>
      <w:r w:rsidR="0032614F" w:rsidRPr="00557088">
        <w:t xml:space="preserve">alnym </w:t>
      </w:r>
      <w:r w:rsidR="00030767">
        <w:t>Z</w:t>
      </w:r>
      <w:r w:rsidR="0032614F" w:rsidRPr="00557088">
        <w:t>gromadzeniu. Aktualnie 100% akcji B</w:t>
      </w:r>
      <w:r w:rsidR="00030767">
        <w:t>iur</w:t>
      </w:r>
      <w:r w:rsidR="00FD7E56">
        <w:t>a</w:t>
      </w:r>
      <w:r w:rsidR="00030767">
        <w:t xml:space="preserve"> </w:t>
      </w:r>
      <w:r w:rsidR="0032614F" w:rsidRPr="00557088">
        <w:t>I</w:t>
      </w:r>
      <w:r w:rsidR="00030767">
        <w:t xml:space="preserve">nwestycji </w:t>
      </w:r>
      <w:r w:rsidR="0032614F" w:rsidRPr="00557088">
        <w:t>K</w:t>
      </w:r>
      <w:r w:rsidR="00030767">
        <w:t>apitałowych</w:t>
      </w:r>
      <w:r w:rsidR="0032614F" w:rsidRPr="00557088">
        <w:t xml:space="preserve"> S.A. jest własnością </w:t>
      </w:r>
      <w:proofErr w:type="spellStart"/>
      <w:r w:rsidR="0032614F" w:rsidRPr="00557088">
        <w:t>Belancor</w:t>
      </w:r>
      <w:proofErr w:type="spellEnd"/>
      <w:r w:rsidR="0032614F" w:rsidRPr="00557088">
        <w:t xml:space="preserve"> Sp. z o.o. z siedzibą w Krakowie. Udziałowcami </w:t>
      </w:r>
      <w:proofErr w:type="spellStart"/>
      <w:r w:rsidR="0032614F" w:rsidRPr="00557088">
        <w:t>Belancor</w:t>
      </w:r>
      <w:proofErr w:type="spellEnd"/>
      <w:r w:rsidR="0032614F" w:rsidRPr="00557088">
        <w:t xml:space="preserve"> Sp. z o.o. są osoby fizyczne.</w:t>
      </w:r>
    </w:p>
    <w:p w:rsidR="0032614F" w:rsidRPr="00557088" w:rsidRDefault="0032614F" w:rsidP="00DA2F1C">
      <w:pPr>
        <w:jc w:val="both"/>
      </w:pPr>
      <w:r w:rsidRPr="00557088">
        <w:t xml:space="preserve">W ramach transzy detalicznej </w:t>
      </w:r>
      <w:r w:rsidR="000B1DE8">
        <w:t xml:space="preserve">do inwestorów indywidualnych </w:t>
      </w:r>
      <w:r w:rsidRPr="00557088">
        <w:t xml:space="preserve">planowane jest </w:t>
      </w:r>
      <w:r w:rsidR="000B1DE8">
        <w:t xml:space="preserve">skierowanie </w:t>
      </w:r>
      <w:r w:rsidRPr="00557088">
        <w:t xml:space="preserve">do 25% </w:t>
      </w:r>
      <w:r w:rsidR="000B1DE8">
        <w:t xml:space="preserve">oferowanych </w:t>
      </w:r>
      <w:r w:rsidRPr="00557088">
        <w:t xml:space="preserve">akcji, a </w:t>
      </w:r>
      <w:r w:rsidR="000B1DE8">
        <w:t xml:space="preserve">do </w:t>
      </w:r>
      <w:r w:rsidRPr="00557088">
        <w:t xml:space="preserve">inwestorów instytucjonalnych </w:t>
      </w:r>
      <w:r w:rsidR="000B1DE8">
        <w:t>pozostałe</w:t>
      </w:r>
      <w:r w:rsidR="000B1DE8" w:rsidRPr="00557088">
        <w:t xml:space="preserve"> </w:t>
      </w:r>
      <w:r w:rsidRPr="00557088">
        <w:t xml:space="preserve">75% </w:t>
      </w:r>
      <w:r w:rsidR="000B1DE8">
        <w:t xml:space="preserve">oferowanych </w:t>
      </w:r>
      <w:r w:rsidRPr="00557088">
        <w:t>akcji.</w:t>
      </w:r>
    </w:p>
    <w:p w:rsidR="00C834F0" w:rsidRDefault="00030767" w:rsidP="00DA2F1C">
      <w:pPr>
        <w:jc w:val="both"/>
      </w:pPr>
      <w:r w:rsidRPr="00557088">
        <w:t>B</w:t>
      </w:r>
      <w:r>
        <w:t xml:space="preserve">iuro </w:t>
      </w:r>
      <w:r w:rsidRPr="00557088">
        <w:t>I</w:t>
      </w:r>
      <w:r>
        <w:t xml:space="preserve">nwestycji </w:t>
      </w:r>
      <w:r w:rsidRPr="00557088">
        <w:t>K</w:t>
      </w:r>
      <w:r>
        <w:t>apitałowych</w:t>
      </w:r>
      <w:r w:rsidR="00C834F0" w:rsidRPr="00557088">
        <w:t xml:space="preserve"> S.A. oczekuje wpływów z emisji akcji serii I na poziomie około 23,7 mln zł brutto. Wpływy netto zostały oszacowane na poziomie ok. 22,</w:t>
      </w:r>
      <w:r w:rsidR="0063144C">
        <w:t>5</w:t>
      </w:r>
      <w:r w:rsidR="0063144C" w:rsidRPr="00557088">
        <w:t xml:space="preserve"> </w:t>
      </w:r>
      <w:r w:rsidR="00C834F0" w:rsidRPr="00557088">
        <w:t xml:space="preserve">mln zł. Cena emisyjna po jakiej będą oferowane akcje zostanie ustalona i opublikowana </w:t>
      </w:r>
      <w:r w:rsidR="0063144C">
        <w:t>26 stycznia 2016 r</w:t>
      </w:r>
      <w:r w:rsidR="00C834F0" w:rsidRPr="00557088">
        <w:t xml:space="preserve">. </w:t>
      </w:r>
    </w:p>
    <w:p w:rsidR="00030767" w:rsidRDefault="0001477E" w:rsidP="0001477E">
      <w:pPr>
        <w:jc w:val="both"/>
        <w:rPr>
          <w:rFonts w:ascii="Calibri" w:eastAsia="Times New Roman" w:hAnsi="Calibri" w:cs="Times New Roman"/>
          <w:color w:val="000000" w:themeColor="text1"/>
        </w:rPr>
      </w:pPr>
      <w:r w:rsidRPr="00BF0CEC">
        <w:rPr>
          <w:rFonts w:ascii="Calibri" w:eastAsia="Times New Roman" w:hAnsi="Calibri" w:cs="Arial"/>
          <w:color w:val="000000" w:themeColor="text1"/>
        </w:rPr>
        <w:t xml:space="preserve">Doradcą </w:t>
      </w:r>
      <w:r w:rsidR="000B1DE8">
        <w:rPr>
          <w:rFonts w:ascii="Calibri" w:eastAsia="Times New Roman" w:hAnsi="Calibri" w:cs="Arial"/>
          <w:color w:val="000000" w:themeColor="text1"/>
        </w:rPr>
        <w:t xml:space="preserve">i oferującym </w:t>
      </w:r>
      <w:r w:rsidR="00030767" w:rsidRPr="00557088">
        <w:t>B</w:t>
      </w:r>
      <w:r w:rsidR="00030767">
        <w:t>iur</w:t>
      </w:r>
      <w:r w:rsidR="00FD7E56">
        <w:t>a</w:t>
      </w:r>
      <w:r w:rsidR="00030767">
        <w:t xml:space="preserve"> </w:t>
      </w:r>
      <w:r w:rsidR="00030767" w:rsidRPr="00557088">
        <w:t>I</w:t>
      </w:r>
      <w:r w:rsidR="00030767">
        <w:t xml:space="preserve">nwestycji </w:t>
      </w:r>
      <w:r w:rsidR="00030767" w:rsidRPr="00557088">
        <w:t>K</w:t>
      </w:r>
      <w:r w:rsidR="00030767">
        <w:t>apitałowych</w:t>
      </w:r>
      <w:r w:rsidRPr="00BF0CEC">
        <w:rPr>
          <w:rFonts w:ascii="Calibri" w:eastAsia="Times New Roman" w:hAnsi="Calibri" w:cs="Arial"/>
          <w:color w:val="000000" w:themeColor="text1"/>
        </w:rPr>
        <w:t xml:space="preserve"> S.A. jest Dom Maklerski BDM S.A., a doradcą prawnym jest </w:t>
      </w:r>
      <w:r w:rsidRPr="00BF0CEC">
        <w:rPr>
          <w:rFonts w:ascii="Calibri" w:eastAsia="Times New Roman" w:hAnsi="Calibri" w:cs="Times New Roman"/>
          <w:color w:val="000000" w:themeColor="text1"/>
        </w:rPr>
        <w:t xml:space="preserve">Kancelaria </w:t>
      </w:r>
      <w:r w:rsidR="00030767">
        <w:rPr>
          <w:rFonts w:ascii="Calibri" w:eastAsia="Times New Roman" w:hAnsi="Calibri" w:cs="Times New Roman"/>
          <w:color w:val="000000" w:themeColor="text1"/>
        </w:rPr>
        <w:t xml:space="preserve">GHMW – </w:t>
      </w:r>
      <w:r w:rsidRPr="00BF0CEC">
        <w:rPr>
          <w:rFonts w:ascii="Calibri" w:eastAsia="Times New Roman" w:hAnsi="Calibri" w:cs="Times New Roman"/>
          <w:color w:val="000000" w:themeColor="text1"/>
        </w:rPr>
        <w:t xml:space="preserve">Gach, Hulist, </w:t>
      </w:r>
      <w:proofErr w:type="spellStart"/>
      <w:r w:rsidRPr="00BF0CEC">
        <w:rPr>
          <w:rFonts w:ascii="Calibri" w:eastAsia="Times New Roman" w:hAnsi="Calibri" w:cs="Times New Roman"/>
          <w:color w:val="000000" w:themeColor="text1"/>
        </w:rPr>
        <w:t>Prawdzic</w:t>
      </w:r>
      <w:proofErr w:type="spellEnd"/>
      <w:r w:rsidRPr="00BF0CEC">
        <w:rPr>
          <w:rFonts w:ascii="Calibri" w:eastAsia="Times New Roman" w:hAnsi="Calibri" w:cs="Times New Roman"/>
          <w:color w:val="000000" w:themeColor="text1"/>
        </w:rPr>
        <w:t xml:space="preserve"> Łaszcz</w:t>
      </w:r>
      <w:r w:rsidR="00030767">
        <w:rPr>
          <w:rFonts w:ascii="Calibri" w:eastAsia="Times New Roman" w:hAnsi="Calibri" w:cs="Times New Roman"/>
          <w:color w:val="000000" w:themeColor="text1"/>
        </w:rPr>
        <w:t xml:space="preserve"> – Radcowie Prawni sp. k.</w:t>
      </w:r>
      <w:r w:rsidRPr="00BF0CEC">
        <w:rPr>
          <w:rFonts w:ascii="Calibri" w:eastAsia="Times New Roman" w:hAnsi="Calibri" w:cs="Times New Roman"/>
          <w:color w:val="000000" w:themeColor="text1"/>
        </w:rPr>
        <w:t xml:space="preserve">. </w:t>
      </w:r>
    </w:p>
    <w:p w:rsidR="0001477E" w:rsidRPr="00BF0CEC" w:rsidRDefault="0001477E" w:rsidP="0001477E">
      <w:pPr>
        <w:jc w:val="both"/>
        <w:rPr>
          <w:rFonts w:eastAsia="Times New Roman" w:cs="Times New Roman"/>
          <w:color w:val="000000" w:themeColor="text1"/>
        </w:rPr>
      </w:pPr>
      <w:r w:rsidRPr="00BF0CEC">
        <w:rPr>
          <w:rFonts w:cs="CenturyGothic-Bold"/>
          <w:bCs/>
          <w:color w:val="000000" w:themeColor="text1"/>
        </w:rPr>
        <w:t xml:space="preserve">Zapisy na akcje można składać w Punktach Obsługi Klienta BDM oraz za pośrednictwem strony </w:t>
      </w:r>
      <w:hyperlink r:id="rId7" w:history="1">
        <w:r w:rsidR="00B32AF7" w:rsidRPr="001B632D">
          <w:rPr>
            <w:rStyle w:val="Hipercze"/>
            <w:rFonts w:cs="CenturyGothic-Bold"/>
            <w:bCs/>
          </w:rPr>
          <w:t>www.bdm.pl</w:t>
        </w:r>
      </w:hyperlink>
      <w:r w:rsidR="00B32AF7">
        <w:rPr>
          <w:rFonts w:cs="CenturyGothic-Bold"/>
          <w:bCs/>
          <w:color w:val="000000" w:themeColor="text1"/>
        </w:rPr>
        <w:t xml:space="preserve">. </w:t>
      </w:r>
    </w:p>
    <w:p w:rsidR="00C834F0" w:rsidRPr="00AB378E" w:rsidRDefault="00030767" w:rsidP="00F36663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C834F0" w:rsidRPr="00AB378E">
        <w:rPr>
          <w:b/>
          <w:bCs/>
          <w:sz w:val="24"/>
          <w:szCs w:val="24"/>
        </w:rPr>
        <w:lastRenderedPageBreak/>
        <w:t>Harmonogram publicznej emisji akcji</w:t>
      </w: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963"/>
        <w:gridCol w:w="3118"/>
      </w:tblGrid>
      <w:tr w:rsidR="00C834F0" w:rsidRPr="00C834F0" w:rsidTr="000B1DE8">
        <w:trPr>
          <w:trHeight w:hRule="exact" w:val="567"/>
        </w:trPr>
        <w:tc>
          <w:tcPr>
            <w:tcW w:w="5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34F0" w:rsidRPr="00F36663" w:rsidRDefault="00F36663" w:rsidP="00255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36663">
              <w:rPr>
                <w:rFonts w:eastAsia="Times New Roman" w:cs="Arial"/>
                <w:sz w:val="20"/>
                <w:szCs w:val="20"/>
              </w:rPr>
              <w:t>proces budowania księgi popytu wśród Inwestorów Instytucjonalnych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4F0" w:rsidRPr="00F36663" w:rsidRDefault="0063144C" w:rsidP="00F3666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25-26 stycznia 2016 r.</w:t>
            </w:r>
          </w:p>
        </w:tc>
      </w:tr>
      <w:tr w:rsidR="00C834F0" w:rsidRPr="00C834F0" w:rsidTr="000B1DE8">
        <w:trPr>
          <w:trHeight w:hRule="exact" w:val="567"/>
        </w:trPr>
        <w:tc>
          <w:tcPr>
            <w:tcW w:w="59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34F0" w:rsidRPr="00F36663" w:rsidRDefault="00F36663" w:rsidP="00255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36663">
              <w:rPr>
                <w:rFonts w:eastAsia="Times New Roman" w:cs="Arial"/>
                <w:sz w:val="20"/>
                <w:szCs w:val="20"/>
              </w:rPr>
              <w:t>opublikowanie ostatecznej ceny i liczby oferowanych akcji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4F0" w:rsidRPr="00F36663" w:rsidRDefault="0063144C" w:rsidP="00F3666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26 stycznia 2016 r.</w:t>
            </w:r>
          </w:p>
        </w:tc>
      </w:tr>
      <w:tr w:rsidR="00C834F0" w:rsidRPr="00C834F0" w:rsidTr="000B1DE8">
        <w:trPr>
          <w:trHeight w:hRule="exact" w:val="567"/>
        </w:trPr>
        <w:tc>
          <w:tcPr>
            <w:tcW w:w="59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34F0" w:rsidRPr="00F36663" w:rsidRDefault="00F36663" w:rsidP="00255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36663">
              <w:rPr>
                <w:sz w:val="20"/>
                <w:szCs w:val="20"/>
              </w:rPr>
              <w:t>przyjmowanie zapisów Inwestorów Indywidualnych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4F0" w:rsidRPr="00F36663" w:rsidRDefault="0063144C" w:rsidP="00F3666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27 stycznia - 01 lutego 2016 r.</w:t>
            </w:r>
          </w:p>
        </w:tc>
      </w:tr>
      <w:tr w:rsidR="00C834F0" w:rsidRPr="00C834F0" w:rsidTr="000B1DE8">
        <w:trPr>
          <w:trHeight w:hRule="exact" w:val="567"/>
        </w:trPr>
        <w:tc>
          <w:tcPr>
            <w:tcW w:w="59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34F0" w:rsidRPr="00F36663" w:rsidRDefault="00F36663" w:rsidP="00255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36663">
              <w:rPr>
                <w:rFonts w:eastAsia="Times New Roman" w:cs="Arial"/>
                <w:sz w:val="20"/>
                <w:szCs w:val="20"/>
              </w:rPr>
              <w:t>przyjmowanie zapisów Inwestorów Instytucjonalnych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4F0" w:rsidRPr="00F36663" w:rsidRDefault="0063144C" w:rsidP="00F36663">
            <w:pPr>
              <w:spacing w:after="0" w:line="240" w:lineRule="auto"/>
              <w:ind w:firstLineChars="100" w:firstLine="20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27 stycznia – 02 lutego 2016 r.</w:t>
            </w:r>
          </w:p>
        </w:tc>
      </w:tr>
      <w:tr w:rsidR="00C834F0" w:rsidRPr="00C834F0" w:rsidTr="000B1DE8">
        <w:trPr>
          <w:trHeight w:hRule="exact" w:val="567"/>
        </w:trPr>
        <w:tc>
          <w:tcPr>
            <w:tcW w:w="59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34F0" w:rsidRPr="00F36663" w:rsidRDefault="00F36663" w:rsidP="00255D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36663">
              <w:rPr>
                <w:sz w:val="20"/>
                <w:szCs w:val="20"/>
              </w:rPr>
              <w:t>przydział akcji oferowanych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4F0" w:rsidRPr="00F36663" w:rsidRDefault="0063144C" w:rsidP="00F36663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do 4 lutego 2016 r.</w:t>
            </w:r>
          </w:p>
        </w:tc>
      </w:tr>
    </w:tbl>
    <w:p w:rsidR="00BE5870" w:rsidRDefault="00BE5870" w:rsidP="00BE5870">
      <w:pPr>
        <w:jc w:val="both"/>
        <w:rPr>
          <w:b/>
          <w:sz w:val="24"/>
          <w:szCs w:val="24"/>
        </w:rPr>
      </w:pPr>
    </w:p>
    <w:p w:rsidR="00C834F0" w:rsidRPr="00557088" w:rsidRDefault="00C834F0" w:rsidP="00BE5870">
      <w:pPr>
        <w:jc w:val="both"/>
        <w:rPr>
          <w:b/>
        </w:rPr>
      </w:pPr>
      <w:r w:rsidRPr="00557088">
        <w:rPr>
          <w:b/>
        </w:rPr>
        <w:t>Cele emisyjne</w:t>
      </w:r>
    </w:p>
    <w:p w:rsidR="00C834F0" w:rsidRPr="00557088" w:rsidRDefault="00C834F0" w:rsidP="00BE5870">
      <w:pPr>
        <w:jc w:val="both"/>
      </w:pPr>
      <w:r w:rsidRPr="00557088">
        <w:t>„</w:t>
      </w:r>
      <w:r w:rsidRPr="00557088">
        <w:rPr>
          <w:i/>
        </w:rPr>
        <w:t xml:space="preserve">Pozyskane środki </w:t>
      </w:r>
      <w:r w:rsidR="00450D3E" w:rsidRPr="00557088">
        <w:rPr>
          <w:i/>
        </w:rPr>
        <w:t xml:space="preserve">w całości </w:t>
      </w:r>
      <w:r w:rsidRPr="00557088">
        <w:rPr>
          <w:i/>
        </w:rPr>
        <w:t>wykorzysta</w:t>
      </w:r>
      <w:r w:rsidR="00BE5870" w:rsidRPr="00557088">
        <w:rPr>
          <w:i/>
        </w:rPr>
        <w:t>my</w:t>
      </w:r>
      <w:r w:rsidRPr="00557088">
        <w:rPr>
          <w:i/>
        </w:rPr>
        <w:t xml:space="preserve"> na finansowanie realizacji przygotowywanych projektów deweloperskich</w:t>
      </w:r>
      <w:r w:rsidR="00BE5870" w:rsidRPr="00557088">
        <w:rPr>
          <w:i/>
        </w:rPr>
        <w:t xml:space="preserve"> dotyczących</w:t>
      </w:r>
      <w:r w:rsidRPr="00557088">
        <w:rPr>
          <w:i/>
        </w:rPr>
        <w:t xml:space="preserve"> </w:t>
      </w:r>
      <w:r w:rsidR="00450D3E" w:rsidRPr="00557088">
        <w:rPr>
          <w:i/>
        </w:rPr>
        <w:t>głównie powierzchni magazynowych, ale także handlowych</w:t>
      </w:r>
      <w:r w:rsidRPr="00557088">
        <w:rPr>
          <w:i/>
        </w:rPr>
        <w:t>”</w:t>
      </w:r>
      <w:r w:rsidRPr="00557088">
        <w:t xml:space="preserve"> – powiedział </w:t>
      </w:r>
      <w:r w:rsidR="00450D3E" w:rsidRPr="00557088">
        <w:t>Mirosław Koszany</w:t>
      </w:r>
      <w:r w:rsidRPr="00557088">
        <w:t xml:space="preserve">, </w:t>
      </w:r>
      <w:r w:rsidRPr="00557088">
        <w:rPr>
          <w:rFonts w:cs="Arial"/>
        </w:rPr>
        <w:t xml:space="preserve">Prezes Zarządu </w:t>
      </w:r>
      <w:r w:rsidR="00030767" w:rsidRPr="00557088">
        <w:t>B</w:t>
      </w:r>
      <w:r w:rsidR="00030767">
        <w:t>iur</w:t>
      </w:r>
      <w:r w:rsidR="00FD7E56">
        <w:t>a</w:t>
      </w:r>
      <w:r w:rsidR="00030767">
        <w:t xml:space="preserve"> </w:t>
      </w:r>
      <w:r w:rsidR="00030767" w:rsidRPr="00557088">
        <w:t>I</w:t>
      </w:r>
      <w:r w:rsidR="00030767">
        <w:t xml:space="preserve">nwestycji </w:t>
      </w:r>
      <w:r w:rsidR="00030767" w:rsidRPr="00557088">
        <w:t>K</w:t>
      </w:r>
      <w:r w:rsidR="00030767">
        <w:t>apitałowych</w:t>
      </w:r>
      <w:r w:rsidRPr="00557088">
        <w:rPr>
          <w:rFonts w:cs="Arial"/>
        </w:rPr>
        <w:t xml:space="preserve"> S.A.</w:t>
      </w:r>
    </w:p>
    <w:p w:rsidR="00C834F0" w:rsidRPr="00557088" w:rsidRDefault="00C834F0" w:rsidP="00F36663">
      <w:pPr>
        <w:autoSpaceDE w:val="0"/>
        <w:autoSpaceDN w:val="0"/>
        <w:adjustRightInd w:val="0"/>
        <w:spacing w:after="0"/>
        <w:jc w:val="both"/>
        <w:rPr>
          <w:rFonts w:cs="CenturyGothic"/>
          <w:color w:val="2C2929"/>
        </w:rPr>
      </w:pPr>
      <w:r w:rsidRPr="00557088">
        <w:rPr>
          <w:rFonts w:cs="CenturyGothic"/>
          <w:color w:val="2C2929"/>
        </w:rPr>
        <w:t xml:space="preserve">Środki pozyskane w ramach pierwszej publicznej emisji akcji </w:t>
      </w:r>
      <w:r w:rsidR="00030767" w:rsidRPr="00557088">
        <w:t>B</w:t>
      </w:r>
      <w:r w:rsidR="00030767">
        <w:t xml:space="preserve">iuro </w:t>
      </w:r>
      <w:r w:rsidR="00030767" w:rsidRPr="00557088">
        <w:t>I</w:t>
      </w:r>
      <w:r w:rsidR="00030767">
        <w:t xml:space="preserve">nwestycji </w:t>
      </w:r>
      <w:r w:rsidR="00030767" w:rsidRPr="00557088">
        <w:t>K</w:t>
      </w:r>
      <w:r w:rsidR="00030767">
        <w:t>apitałowych</w:t>
      </w:r>
      <w:r w:rsidRPr="00557088">
        <w:rPr>
          <w:rFonts w:cs="CenturyGothic"/>
          <w:color w:val="2C2929"/>
        </w:rPr>
        <w:t xml:space="preserve"> S.A. przeznaczy na:</w:t>
      </w:r>
    </w:p>
    <w:p w:rsidR="00C834F0" w:rsidRPr="00557088" w:rsidRDefault="00C834F0" w:rsidP="00BE5870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cs="CenturyGothic"/>
          <w:color w:val="2C2929"/>
        </w:rPr>
      </w:pPr>
      <w:r w:rsidRPr="00557088">
        <w:rPr>
          <w:rFonts w:cs="CenturyGothic"/>
          <w:color w:val="2C2929"/>
        </w:rPr>
        <w:t xml:space="preserve">rozbudowę Centrum Logistycznego w Sosnowcu poprzez budowę dwóch kolejnych hal magazynowych o łącznej powierzchni najmu około </w:t>
      </w:r>
      <w:r w:rsidR="0063144C" w:rsidRPr="00557088">
        <w:rPr>
          <w:rFonts w:cs="CenturyGothic"/>
          <w:color w:val="2C2929"/>
        </w:rPr>
        <w:t>2</w:t>
      </w:r>
      <w:r w:rsidR="0063144C">
        <w:rPr>
          <w:rFonts w:cs="CenturyGothic"/>
          <w:color w:val="2C2929"/>
        </w:rPr>
        <w:t>5</w:t>
      </w:r>
      <w:r w:rsidR="0063144C" w:rsidRPr="00557088">
        <w:rPr>
          <w:rFonts w:cs="CenturyGothic"/>
          <w:color w:val="2C2929"/>
        </w:rPr>
        <w:t xml:space="preserve"> </w:t>
      </w:r>
      <w:r w:rsidRPr="00557088">
        <w:rPr>
          <w:rFonts w:cs="CenturyGothic"/>
          <w:color w:val="2C2929"/>
        </w:rPr>
        <w:t>tys. m</w:t>
      </w:r>
      <w:r w:rsidRPr="00557088">
        <w:rPr>
          <w:rFonts w:cs="CenturyGothic"/>
          <w:color w:val="2C2929"/>
          <w:vertAlign w:val="superscript"/>
        </w:rPr>
        <w:t>2</w:t>
      </w:r>
    </w:p>
    <w:p w:rsidR="00C834F0" w:rsidRPr="00557088" w:rsidRDefault="00C834F0" w:rsidP="00BE5870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cs="CenturyGothic"/>
          <w:color w:val="2C2929"/>
        </w:rPr>
      </w:pPr>
      <w:r w:rsidRPr="00557088">
        <w:rPr>
          <w:rFonts w:cs="CenturyGothic"/>
          <w:color w:val="2C2929"/>
        </w:rPr>
        <w:t>budowę Centrum Logistycznego Kraków III o łącznej powierzchni najmu około 18 tys. m</w:t>
      </w:r>
      <w:r w:rsidRPr="00557088">
        <w:rPr>
          <w:rFonts w:cs="CenturyGothic"/>
          <w:color w:val="2C2929"/>
          <w:vertAlign w:val="superscript"/>
        </w:rPr>
        <w:t>2</w:t>
      </w:r>
    </w:p>
    <w:p w:rsidR="00C834F0" w:rsidRPr="00557088" w:rsidRDefault="00C834F0" w:rsidP="00BE5870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557088">
        <w:rPr>
          <w:rFonts w:cs="CenturyGothic"/>
          <w:color w:val="2C2929"/>
        </w:rPr>
        <w:t>budowę Parku Handlowego w Dzierżoniowie o łącznej powierzchni najmu około 5 tys. m</w:t>
      </w:r>
      <w:r w:rsidRPr="00557088">
        <w:rPr>
          <w:rFonts w:cs="CenturyGothic"/>
          <w:color w:val="2C2929"/>
          <w:vertAlign w:val="superscript"/>
        </w:rPr>
        <w:t>2</w:t>
      </w:r>
    </w:p>
    <w:p w:rsidR="00C834F0" w:rsidRPr="00557088" w:rsidRDefault="00C834F0" w:rsidP="00BE5870">
      <w:pPr>
        <w:jc w:val="both"/>
        <w:rPr>
          <w:b/>
        </w:rPr>
      </w:pPr>
      <w:r w:rsidRPr="00557088">
        <w:rPr>
          <w:b/>
        </w:rPr>
        <w:t>Strategia rozwoju</w:t>
      </w:r>
    </w:p>
    <w:p w:rsidR="00C834F0" w:rsidRPr="00557088" w:rsidRDefault="00C834F0" w:rsidP="00BE5870">
      <w:pPr>
        <w:autoSpaceDE w:val="0"/>
        <w:autoSpaceDN w:val="0"/>
        <w:adjustRightInd w:val="0"/>
        <w:jc w:val="both"/>
        <w:rPr>
          <w:rFonts w:cs="CenturyGothic"/>
          <w:color w:val="2C2929"/>
        </w:rPr>
      </w:pPr>
      <w:r w:rsidRPr="00557088">
        <w:rPr>
          <w:rFonts w:cs="CenturyGothic"/>
          <w:color w:val="2C2929"/>
        </w:rPr>
        <w:t xml:space="preserve">Strategia </w:t>
      </w:r>
      <w:r w:rsidR="00030767" w:rsidRPr="00557088">
        <w:t>B</w:t>
      </w:r>
      <w:r w:rsidR="00030767">
        <w:t>iur</w:t>
      </w:r>
      <w:r w:rsidR="00FD7E56">
        <w:t>a</w:t>
      </w:r>
      <w:r w:rsidR="00030767">
        <w:t xml:space="preserve"> </w:t>
      </w:r>
      <w:r w:rsidR="00030767" w:rsidRPr="00557088">
        <w:t>I</w:t>
      </w:r>
      <w:r w:rsidR="00030767">
        <w:t xml:space="preserve">nwestycji </w:t>
      </w:r>
      <w:r w:rsidR="00030767" w:rsidRPr="00557088">
        <w:t>K</w:t>
      </w:r>
      <w:r w:rsidR="00030767">
        <w:t>apitałowych</w:t>
      </w:r>
      <w:r w:rsidRPr="00557088">
        <w:rPr>
          <w:rFonts w:cs="CenturyGothic"/>
          <w:color w:val="2C2929"/>
        </w:rPr>
        <w:t xml:space="preserve"> S.A. zakłada </w:t>
      </w:r>
      <w:r w:rsidR="002A50A5">
        <w:rPr>
          <w:rFonts w:cs="CenturyGothic"/>
          <w:color w:val="2C2929"/>
        </w:rPr>
        <w:t>zwiększenie o ponad 75%</w:t>
      </w:r>
      <w:r w:rsidRPr="00557088">
        <w:rPr>
          <w:rFonts w:cs="CenturyGothic"/>
          <w:color w:val="2C2929"/>
        </w:rPr>
        <w:t xml:space="preserve"> nowoczesnych zasobów magazynowych w trzy lata, z obecnie posiadanych </w:t>
      </w:r>
      <w:r w:rsidR="00BE5870" w:rsidRPr="00557088">
        <w:rPr>
          <w:rFonts w:cs="CenturyGothic"/>
          <w:color w:val="2C2929"/>
        </w:rPr>
        <w:t xml:space="preserve">blisko </w:t>
      </w:r>
      <w:r w:rsidRPr="00557088">
        <w:rPr>
          <w:rFonts w:cs="CenturyGothic"/>
          <w:color w:val="2C2929"/>
        </w:rPr>
        <w:t>56 tys. m</w:t>
      </w:r>
      <w:r w:rsidRPr="00557088">
        <w:rPr>
          <w:rFonts w:cs="CenturyGothic"/>
          <w:color w:val="2C2929"/>
          <w:vertAlign w:val="superscript"/>
        </w:rPr>
        <w:t>2</w:t>
      </w:r>
      <w:r w:rsidRPr="00557088">
        <w:rPr>
          <w:rFonts w:cs="CenturyGothic"/>
          <w:color w:val="2C2929"/>
        </w:rPr>
        <w:t xml:space="preserve"> powierzchni.</w:t>
      </w:r>
    </w:p>
    <w:p w:rsidR="00C834F0" w:rsidRDefault="00016802" w:rsidP="00BE5870">
      <w:pPr>
        <w:jc w:val="both"/>
        <w:rPr>
          <w:rFonts w:eastAsia="Arial Narrow" w:cs="Arial Narrow"/>
        </w:rPr>
      </w:pPr>
      <w:r w:rsidRPr="00016802">
        <w:t xml:space="preserve">Spółka </w:t>
      </w:r>
      <w:r>
        <w:rPr>
          <w:rFonts w:eastAsia="Arial Narrow" w:cs="Arial Narrow"/>
        </w:rPr>
        <w:t xml:space="preserve">ma duży potencjał do </w:t>
      </w:r>
      <w:r w:rsidR="00C834F0" w:rsidRPr="00557088">
        <w:rPr>
          <w:rFonts w:eastAsia="Arial Narrow" w:cs="Arial Narrow"/>
        </w:rPr>
        <w:t>dynamiczn</w:t>
      </w:r>
      <w:r>
        <w:rPr>
          <w:rFonts w:eastAsia="Arial Narrow" w:cs="Arial Narrow"/>
        </w:rPr>
        <w:t>ego</w:t>
      </w:r>
      <w:r w:rsidR="00C834F0" w:rsidRPr="00557088">
        <w:rPr>
          <w:rFonts w:eastAsia="Arial Narrow" w:cs="Arial Narrow"/>
        </w:rPr>
        <w:t xml:space="preserve"> wzrost</w:t>
      </w:r>
      <w:r w:rsidR="001A2E6C">
        <w:rPr>
          <w:rFonts w:eastAsia="Arial Narrow" w:cs="Arial Narrow"/>
        </w:rPr>
        <w:t>u</w:t>
      </w:r>
      <w:r w:rsidR="00C834F0" w:rsidRPr="00557088">
        <w:rPr>
          <w:rFonts w:eastAsia="Arial Narrow" w:cs="Arial Narrow"/>
        </w:rPr>
        <w:t xml:space="preserve"> skali działania</w:t>
      </w:r>
      <w:r>
        <w:rPr>
          <w:rFonts w:eastAsia="Arial Narrow" w:cs="Arial Narrow"/>
        </w:rPr>
        <w:t>.</w:t>
      </w:r>
      <w:r w:rsidR="00C03124">
        <w:rPr>
          <w:rFonts w:eastAsia="Arial Narrow" w:cs="Arial Narrow"/>
        </w:rPr>
        <w:t xml:space="preserve"> </w:t>
      </w:r>
      <w:r w:rsidR="00FC5559">
        <w:rPr>
          <w:rFonts w:eastAsia="Arial Narrow" w:cs="Arial Narrow"/>
        </w:rPr>
        <w:t>P</w:t>
      </w:r>
      <w:r w:rsidR="00C03124">
        <w:rPr>
          <w:rFonts w:eastAsia="Arial Narrow" w:cs="Arial Narrow"/>
        </w:rPr>
        <w:t xml:space="preserve">osiada </w:t>
      </w:r>
      <w:r w:rsidR="00582CC2">
        <w:rPr>
          <w:rFonts w:eastAsia="Arial Narrow" w:cs="Arial Narrow"/>
        </w:rPr>
        <w:t xml:space="preserve">już </w:t>
      </w:r>
      <w:r w:rsidR="00C03124">
        <w:rPr>
          <w:rFonts w:eastAsia="Arial Narrow" w:cs="Arial Narrow"/>
        </w:rPr>
        <w:t xml:space="preserve">grunty </w:t>
      </w:r>
      <w:r w:rsidR="00582CC2">
        <w:rPr>
          <w:rFonts w:eastAsia="Arial Narrow" w:cs="Arial Narrow"/>
        </w:rPr>
        <w:t xml:space="preserve">wraz z zatwierdzonym planem zagospodarowania terenu, </w:t>
      </w:r>
      <w:r w:rsidR="00C03124">
        <w:rPr>
          <w:rFonts w:eastAsia="Arial Narrow" w:cs="Arial Narrow"/>
        </w:rPr>
        <w:t>na których będą powstawały obiekty</w:t>
      </w:r>
      <w:r w:rsidR="00FC5559">
        <w:rPr>
          <w:rFonts w:eastAsia="Arial Narrow" w:cs="Arial Narrow"/>
        </w:rPr>
        <w:t xml:space="preserve"> określone w celach emisyjnych</w:t>
      </w:r>
      <w:r w:rsidR="00C03124">
        <w:rPr>
          <w:rFonts w:eastAsia="Arial Narrow" w:cs="Arial Narrow"/>
        </w:rPr>
        <w:t>.</w:t>
      </w:r>
      <w:r w:rsidR="003D4D0A">
        <w:rPr>
          <w:rFonts w:eastAsia="Arial Narrow" w:cs="Arial Narrow"/>
        </w:rPr>
        <w:t xml:space="preserve"> „</w:t>
      </w:r>
      <w:r w:rsidR="003D4D0A" w:rsidRPr="00D56FA6">
        <w:rPr>
          <w:rFonts w:eastAsia="Arial Narrow" w:cs="Arial Narrow"/>
          <w:i/>
        </w:rPr>
        <w:t xml:space="preserve">Mamy </w:t>
      </w:r>
      <w:r w:rsidR="00582CC2" w:rsidRPr="00D56FA6">
        <w:rPr>
          <w:rFonts w:eastAsia="Arial Narrow" w:cs="Arial Narrow"/>
          <w:i/>
        </w:rPr>
        <w:t xml:space="preserve">jednocześnie </w:t>
      </w:r>
      <w:r w:rsidR="003D4D0A" w:rsidRPr="00D56FA6">
        <w:rPr>
          <w:rFonts w:eastAsia="Arial Narrow" w:cs="Arial Narrow"/>
          <w:i/>
        </w:rPr>
        <w:t xml:space="preserve">do czynienia ze sprzyjającym otoczeniem rynkowym. Sytuacja w branży deweloperskiej </w:t>
      </w:r>
      <w:r w:rsidR="00582CC2" w:rsidRPr="00D56FA6">
        <w:rPr>
          <w:rFonts w:eastAsia="Arial Narrow" w:cs="Arial Narrow"/>
          <w:i/>
        </w:rPr>
        <w:t>jest bardzo dobra. Systematycznie rośnie zapotrzebowanie na nowoczesne powierzchni magazynowe, a wszystkie nasze inwestycje</w:t>
      </w:r>
      <w:r w:rsidR="00D92AD0">
        <w:rPr>
          <w:rFonts w:eastAsia="Arial Narrow" w:cs="Arial Narrow"/>
          <w:i/>
        </w:rPr>
        <w:t xml:space="preserve"> powstające</w:t>
      </w:r>
      <w:r w:rsidR="00582CC2" w:rsidRPr="00D56FA6">
        <w:rPr>
          <w:rFonts w:eastAsia="Arial Narrow" w:cs="Arial Narrow"/>
          <w:i/>
        </w:rPr>
        <w:t xml:space="preserve"> w tym segmencie mają </w:t>
      </w:r>
      <w:r w:rsidR="00D92AD0">
        <w:rPr>
          <w:rFonts w:eastAsia="Arial Narrow" w:cs="Arial Narrow"/>
          <w:i/>
        </w:rPr>
        <w:t xml:space="preserve">dla najemców </w:t>
      </w:r>
      <w:r w:rsidR="00582CC2" w:rsidRPr="00D56FA6">
        <w:rPr>
          <w:rFonts w:eastAsia="Arial Narrow" w:cs="Arial Narrow"/>
          <w:i/>
        </w:rPr>
        <w:t xml:space="preserve">bardzo atrakcyjne lokalizacje </w:t>
      </w:r>
      <w:r w:rsidR="00D92AD0">
        <w:rPr>
          <w:rFonts w:eastAsia="Arial Narrow" w:cs="Arial Narrow"/>
          <w:i/>
        </w:rPr>
        <w:t xml:space="preserve">ze względu na położenie </w:t>
      </w:r>
      <w:r w:rsidR="00582CC2" w:rsidRPr="00D56FA6">
        <w:rPr>
          <w:rFonts w:eastAsia="Arial Narrow" w:cs="Arial Narrow"/>
          <w:i/>
        </w:rPr>
        <w:t>na przecięciu głównych szlaków komunikacyjnych</w:t>
      </w:r>
      <w:r w:rsidR="00D56FA6">
        <w:rPr>
          <w:rFonts w:eastAsia="Arial Narrow" w:cs="Arial Narrow"/>
          <w:i/>
        </w:rPr>
        <w:t>. Potwierdzeniem tego jest bardzo wysoki wskaźnik wynajęcia posiadanych obiektów, który jest bliski 100%</w:t>
      </w:r>
      <w:r w:rsidR="00582CC2" w:rsidRPr="00D56FA6">
        <w:rPr>
          <w:rFonts w:eastAsia="Arial Narrow" w:cs="Arial Narrow"/>
          <w:i/>
        </w:rPr>
        <w:t>”</w:t>
      </w:r>
      <w:r w:rsidR="00582CC2">
        <w:rPr>
          <w:rFonts w:eastAsia="Arial Narrow" w:cs="Arial Narrow"/>
        </w:rPr>
        <w:t xml:space="preserve"> – podkreślił Mirosław Koszany.</w:t>
      </w:r>
      <w:r w:rsidR="001A2E6C">
        <w:rPr>
          <w:rFonts w:eastAsia="Arial Narrow" w:cs="Arial Narrow"/>
        </w:rPr>
        <w:t xml:space="preserve"> Dodał, że w osiągnięciu założonych celów </w:t>
      </w:r>
      <w:r w:rsidR="00761F87">
        <w:rPr>
          <w:rFonts w:eastAsia="Arial Narrow" w:cs="Arial Narrow"/>
        </w:rPr>
        <w:t xml:space="preserve">z pewnością </w:t>
      </w:r>
      <w:r w:rsidR="001A2E6C">
        <w:rPr>
          <w:rFonts w:eastAsia="Arial Narrow" w:cs="Arial Narrow"/>
        </w:rPr>
        <w:t xml:space="preserve">pomagać będzie </w:t>
      </w:r>
      <w:r w:rsidR="00761F87">
        <w:rPr>
          <w:rFonts w:eastAsia="Arial Narrow" w:cs="Arial Narrow"/>
        </w:rPr>
        <w:t xml:space="preserve">także </w:t>
      </w:r>
      <w:r w:rsidR="001A2E6C">
        <w:rPr>
          <w:rFonts w:eastAsia="Arial Narrow" w:cs="Arial Narrow"/>
        </w:rPr>
        <w:t>ponad 15</w:t>
      </w:r>
      <w:r w:rsidR="00030767">
        <w:rPr>
          <w:rFonts w:eastAsia="Arial Narrow" w:cs="Arial Narrow"/>
        </w:rPr>
        <w:t>-</w:t>
      </w:r>
      <w:r w:rsidR="001A2E6C">
        <w:rPr>
          <w:rFonts w:eastAsia="Arial Narrow" w:cs="Arial Narrow"/>
        </w:rPr>
        <w:t xml:space="preserve">letnie doświadczenie na rynku deweloperskim potwierdzone siedmioma zrealizowanymi inwestycjami. </w:t>
      </w:r>
    </w:p>
    <w:p w:rsidR="00BF0CEC" w:rsidRDefault="00BF0CEC" w:rsidP="00BE5870">
      <w:pPr>
        <w:jc w:val="both"/>
        <w:rPr>
          <w:b/>
        </w:rPr>
      </w:pPr>
    </w:p>
    <w:p w:rsidR="00E14427" w:rsidRPr="00557088" w:rsidRDefault="00030767" w:rsidP="00BE5870">
      <w:pPr>
        <w:jc w:val="both"/>
        <w:rPr>
          <w:b/>
        </w:rPr>
      </w:pPr>
      <w:r>
        <w:rPr>
          <w:b/>
        </w:rPr>
        <w:br w:type="column"/>
      </w:r>
      <w:r w:rsidR="00E14427" w:rsidRPr="00557088">
        <w:rPr>
          <w:b/>
        </w:rPr>
        <w:lastRenderedPageBreak/>
        <w:t>Sytuacja finansowa</w:t>
      </w:r>
    </w:p>
    <w:p w:rsidR="00E14427" w:rsidRDefault="00E14427" w:rsidP="00BE5870">
      <w:pPr>
        <w:jc w:val="both"/>
      </w:pPr>
      <w:r w:rsidRPr="00557088">
        <w:t xml:space="preserve">Kondycja finansowa </w:t>
      </w:r>
      <w:r w:rsidR="00030767" w:rsidRPr="00557088">
        <w:t>B</w:t>
      </w:r>
      <w:r w:rsidR="00030767">
        <w:t>iur</w:t>
      </w:r>
      <w:r w:rsidR="00FD7E56">
        <w:t>a</w:t>
      </w:r>
      <w:r w:rsidR="00030767">
        <w:t xml:space="preserve"> </w:t>
      </w:r>
      <w:r w:rsidR="00030767" w:rsidRPr="00557088">
        <w:t>I</w:t>
      </w:r>
      <w:r w:rsidR="00030767">
        <w:t xml:space="preserve">nwestycji </w:t>
      </w:r>
      <w:r w:rsidR="00030767" w:rsidRPr="00557088">
        <w:t>K</w:t>
      </w:r>
      <w:r w:rsidR="00030767">
        <w:t>apitałowych</w:t>
      </w:r>
      <w:r w:rsidRPr="00557088">
        <w:t xml:space="preserve"> S.A. jest bardzo dobra</w:t>
      </w:r>
      <w:r w:rsidR="001A2E6C">
        <w:t>, a prowadzona działalność charakteryzuje się wysoką rentownością</w:t>
      </w:r>
      <w:r w:rsidRPr="00557088">
        <w:t xml:space="preserve">. </w:t>
      </w:r>
      <w:r w:rsidR="00B32AF7">
        <w:t>Wg sprawozdania pro</w:t>
      </w:r>
      <w:r w:rsidR="002A50A5">
        <w:t xml:space="preserve"> </w:t>
      </w:r>
      <w:r w:rsidR="00B32AF7">
        <w:t>forma n</w:t>
      </w:r>
      <w:r w:rsidRPr="00557088">
        <w:t xml:space="preserve">a koniec 2014 r. Grupa </w:t>
      </w:r>
      <w:r w:rsidR="00C341C7">
        <w:t xml:space="preserve">Kapitałowa </w:t>
      </w:r>
      <w:r w:rsidRPr="00557088">
        <w:t>osiągnęła skonsolidowane przychody ze sprzedaży na poziomie 1</w:t>
      </w:r>
      <w:r w:rsidR="00B32AF7">
        <w:t>5</w:t>
      </w:r>
      <w:r w:rsidRPr="00557088">
        <w:t>,</w:t>
      </w:r>
      <w:r w:rsidR="00B32AF7">
        <w:t>0</w:t>
      </w:r>
      <w:r w:rsidRPr="00557088">
        <w:t xml:space="preserve"> mln zł</w:t>
      </w:r>
      <w:r w:rsidR="00B32AF7">
        <w:t>.</w:t>
      </w:r>
      <w:r w:rsidRPr="00557088">
        <w:t xml:space="preserve"> Zysk operacyjny wyniósł 11</w:t>
      </w:r>
      <w:r w:rsidR="0063144C">
        <w:t>,</w:t>
      </w:r>
      <w:r w:rsidR="00B32AF7">
        <w:t>4</w:t>
      </w:r>
      <w:r w:rsidRPr="00557088">
        <w:t xml:space="preserve"> mln zł, </w:t>
      </w:r>
      <w:r w:rsidR="00B32AF7">
        <w:t>a zysk netto 5,4 mln zł. W</w:t>
      </w:r>
      <w:r w:rsidRPr="00557088">
        <w:t xml:space="preserve">artość portfela nieruchomości inwestycyjnych Grupy </w:t>
      </w:r>
      <w:r w:rsidR="00C341C7">
        <w:t>Kapitałowej</w:t>
      </w:r>
      <w:r w:rsidR="00C341C7" w:rsidRPr="00557088">
        <w:t xml:space="preserve"> </w:t>
      </w:r>
      <w:r w:rsidRPr="00557088">
        <w:t>wyniosła 1</w:t>
      </w:r>
      <w:r w:rsidR="00B32AF7">
        <w:t>76</w:t>
      </w:r>
      <w:r w:rsidRPr="00557088">
        <w:t>,</w:t>
      </w:r>
      <w:r w:rsidR="00B32AF7">
        <w:t>4</w:t>
      </w:r>
      <w:r w:rsidRPr="00557088">
        <w:t xml:space="preserve"> mln zł, a wartość kapitałów własnych 6</w:t>
      </w:r>
      <w:r w:rsidR="00B32AF7">
        <w:t>5</w:t>
      </w:r>
      <w:r w:rsidRPr="00557088">
        <w:t>,</w:t>
      </w:r>
      <w:r w:rsidR="00B32AF7">
        <w:t>7</w:t>
      </w:r>
      <w:r w:rsidRPr="00557088">
        <w:t xml:space="preserve"> mln zł</w:t>
      </w:r>
      <w:r w:rsidR="00B32AF7">
        <w:t>.</w:t>
      </w:r>
      <w:r w:rsidRPr="00557088">
        <w:t xml:space="preserve"> </w:t>
      </w:r>
    </w:p>
    <w:tbl>
      <w:tblPr>
        <w:tblW w:w="78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40"/>
        <w:gridCol w:w="1280"/>
        <w:gridCol w:w="1280"/>
        <w:gridCol w:w="1280"/>
        <w:gridCol w:w="1280"/>
      </w:tblGrid>
      <w:tr w:rsidR="00D17BDE" w:rsidRPr="00D17BDE" w:rsidTr="00D17BDE">
        <w:trPr>
          <w:trHeight w:val="630"/>
        </w:trPr>
        <w:tc>
          <w:tcPr>
            <w:tcW w:w="2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bottom"/>
            <w:hideMark/>
          </w:tcPr>
          <w:p w:rsidR="00D17BDE" w:rsidRPr="00D17BDE" w:rsidRDefault="00D17BDE" w:rsidP="00BE5870">
            <w:pPr>
              <w:spacing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Pro Forma 2014*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Przychody ze sprzedaży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15,0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Wynik z działalności operacyjnej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11,4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Wynik brutto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6,5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Wynik netto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2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5,4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Aktywa ogółem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12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185,9</w:t>
            </w:r>
          </w:p>
        </w:tc>
      </w:tr>
      <w:tr w:rsidR="00D17BDE" w:rsidRPr="00D17BDE" w:rsidTr="00F36663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Kapitał własny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2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65,7</w:t>
            </w:r>
          </w:p>
        </w:tc>
      </w:tr>
      <w:tr w:rsidR="00D17BDE" w:rsidRPr="00D17BDE" w:rsidTr="00F36663">
        <w:trPr>
          <w:trHeight w:val="510"/>
        </w:trPr>
        <w:tc>
          <w:tcPr>
            <w:tcW w:w="2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Rentowność działalności operacyjnej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2,40%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77,40%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60,90%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75,52%</w:t>
            </w:r>
          </w:p>
        </w:tc>
      </w:tr>
      <w:tr w:rsidR="00D17BDE" w:rsidRPr="00D17BDE" w:rsidTr="00F36663">
        <w:trPr>
          <w:trHeight w:val="285"/>
        </w:trPr>
        <w:tc>
          <w:tcPr>
            <w:tcW w:w="2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Rentowność brutto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16,20%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48,00%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30,30%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43,11%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Rentowność netto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9,00%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39,90%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20,20%</w:t>
            </w:r>
          </w:p>
        </w:tc>
        <w:tc>
          <w:tcPr>
            <w:tcW w:w="12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35,61%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Rentowność aktywów ogółem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3,70%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1,80%</w:t>
            </w:r>
          </w:p>
        </w:tc>
        <w:tc>
          <w:tcPr>
            <w:tcW w:w="12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2,88%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Rentowność kapitału własnego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2,40%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9,20%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4,90%</w:t>
            </w:r>
          </w:p>
        </w:tc>
        <w:tc>
          <w:tcPr>
            <w:tcW w:w="12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17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8,15%</w:t>
            </w:r>
          </w:p>
        </w:tc>
      </w:tr>
    </w:tbl>
    <w:p w:rsidR="003E33EC" w:rsidRDefault="003E33EC" w:rsidP="003E33EC">
      <w:pPr>
        <w:pStyle w:val="Tekstpodstawowy"/>
        <w:jc w:val="both"/>
        <w:rPr>
          <w:b/>
          <w:sz w:val="24"/>
          <w:szCs w:val="24"/>
        </w:rPr>
      </w:pPr>
    </w:p>
    <w:p w:rsidR="00D17BDE" w:rsidRPr="00D17BDE" w:rsidRDefault="00D17BDE" w:rsidP="003E33EC">
      <w:pPr>
        <w:pStyle w:val="Tekstpodstawowy"/>
        <w:jc w:val="both"/>
        <w:rPr>
          <w:i/>
          <w:sz w:val="20"/>
          <w:szCs w:val="20"/>
        </w:rPr>
      </w:pPr>
      <w:r w:rsidRPr="00D17BDE">
        <w:rPr>
          <w:i/>
          <w:sz w:val="20"/>
          <w:szCs w:val="20"/>
        </w:rPr>
        <w:t>* Skonsolidowane sprawozdanie finansowe pro forma prezentuje wyniki Spółki za 2014 r. uwzględniając obecny kształt Grupy</w:t>
      </w:r>
      <w:r w:rsidR="00C341C7">
        <w:rPr>
          <w:i/>
          <w:sz w:val="20"/>
          <w:szCs w:val="20"/>
        </w:rPr>
        <w:t xml:space="preserve"> Kapitałowej</w:t>
      </w:r>
      <w:r w:rsidRPr="00D17BDE">
        <w:rPr>
          <w:i/>
          <w:sz w:val="20"/>
          <w:szCs w:val="20"/>
        </w:rPr>
        <w:t>, tj. po sprzedaży w maju 2015 r. udziałów w spółce BIK Zarządzanie Sp. z o.o., a co za tym idzie po utracie kontroli nad ww. spółką oraz jej spółkami zależnymi. Sprawozdanie pro forma zakłada przeprowadzenie opisywanej transakcji w dniu 1 stycznia 2014 r.</w:t>
      </w:r>
    </w:p>
    <w:p w:rsidR="00BB295A" w:rsidRPr="00BB295A" w:rsidRDefault="00BB295A" w:rsidP="003E33EC">
      <w:pPr>
        <w:pStyle w:val="Tekstpodstawowy"/>
        <w:jc w:val="both"/>
      </w:pPr>
      <w:r w:rsidRPr="00BB295A">
        <w:t>W</w:t>
      </w:r>
      <w:r>
        <w:t xml:space="preserve"> pierwszych sześciu miesiącach br. </w:t>
      </w:r>
      <w:r w:rsidR="00C341C7" w:rsidRPr="00557088">
        <w:t>B</w:t>
      </w:r>
      <w:r w:rsidR="00C341C7">
        <w:t xml:space="preserve">iuro </w:t>
      </w:r>
      <w:r w:rsidR="00C341C7" w:rsidRPr="00557088">
        <w:t>I</w:t>
      </w:r>
      <w:r w:rsidR="00C341C7">
        <w:t xml:space="preserve">nwestycji </w:t>
      </w:r>
      <w:r w:rsidR="00C341C7" w:rsidRPr="00557088">
        <w:t>K</w:t>
      </w:r>
      <w:r w:rsidR="00C341C7">
        <w:t>apitałowych</w:t>
      </w:r>
      <w:r>
        <w:t xml:space="preserve"> S.A. kontynuował</w:t>
      </w:r>
      <w:r w:rsidR="00FC5559">
        <w:t>o</w:t>
      </w:r>
      <w:r>
        <w:t xml:space="preserve"> wzrostowy trend. Przychody ze sprzedaży w tym okresie wyniosły 8,3 mln zł, czyli o 18,6% więcej niż rok wcześniej. </w:t>
      </w:r>
      <w:r w:rsidRPr="00557088">
        <w:t>Zysk operacyjny</w:t>
      </w:r>
      <w:r>
        <w:t xml:space="preserve"> osiągnął w pierwszym półroczu 2015 r. poziom 3,7 mln zł, co oznacza poprawę w ujęciu rok do roku o 19</w:t>
      </w:r>
      <w:r w:rsidR="000B1DE8">
        <w:t>,</w:t>
      </w:r>
      <w:r>
        <w:t>3%. Spółka osiągnęła jednocześnie 4,9 mln zł zysku netto, względem 0,1 mln zł na plusie w tym samym okresie poprzedniego roku.</w:t>
      </w:r>
    </w:p>
    <w:tbl>
      <w:tblPr>
        <w:tblW w:w="53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40"/>
        <w:gridCol w:w="1280"/>
        <w:gridCol w:w="1280"/>
      </w:tblGrid>
      <w:tr w:rsidR="00D17BDE" w:rsidRPr="00D17BDE" w:rsidTr="00D17BDE">
        <w:trPr>
          <w:trHeight w:val="285"/>
        </w:trPr>
        <w:tc>
          <w:tcPr>
            <w:tcW w:w="2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dane w mln PLN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poł</w:t>
            </w:r>
            <w:proofErr w:type="spellEnd"/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. 2014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poł</w:t>
            </w:r>
            <w:proofErr w:type="spellEnd"/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. 2015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Przychody ze sprzedaży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8,3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Wynik z działalności operacyjnej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3,7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Wynik brutto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5,5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Wynik netto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4,9</w:t>
            </w:r>
          </w:p>
        </w:tc>
      </w:tr>
      <w:tr w:rsidR="00D17BDE" w:rsidRPr="00D17BDE" w:rsidTr="00D17BDE">
        <w:trPr>
          <w:trHeight w:val="510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Rentowność działalności operacyjnej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44,40%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45,22%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Rentowność brutto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22,53%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66,63%</w:t>
            </w:r>
          </w:p>
        </w:tc>
      </w:tr>
      <w:tr w:rsidR="00D17BDE" w:rsidRPr="00D17BDE" w:rsidTr="00D17BDE">
        <w:trPr>
          <w:trHeight w:val="285"/>
        </w:trPr>
        <w:tc>
          <w:tcPr>
            <w:tcW w:w="27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17BDE" w:rsidRPr="00D17BDE" w:rsidRDefault="00D17BDE" w:rsidP="00D17B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Rentowność netto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2,13%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BDE" w:rsidRPr="00D17BDE" w:rsidRDefault="00D17BDE" w:rsidP="00D17BD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7BDE">
              <w:rPr>
                <w:rFonts w:eastAsia="Times New Roman" w:cs="Arial"/>
                <w:color w:val="000000"/>
                <w:sz w:val="20"/>
                <w:szCs w:val="20"/>
              </w:rPr>
              <w:t>58,88%</w:t>
            </w:r>
          </w:p>
        </w:tc>
      </w:tr>
    </w:tbl>
    <w:p w:rsidR="003E33EC" w:rsidRDefault="003E33EC" w:rsidP="002E3392">
      <w:pPr>
        <w:jc w:val="both"/>
        <w:rPr>
          <w:rFonts w:cs="Arial"/>
        </w:rPr>
      </w:pPr>
    </w:p>
    <w:p w:rsidR="0034020D" w:rsidRDefault="009B3B3C">
      <w:pPr>
        <w:spacing w:line="240" w:lineRule="auto"/>
        <w:jc w:val="center"/>
        <w:rPr>
          <w:i/>
          <w:iCs/>
          <w:sz w:val="18"/>
          <w:szCs w:val="18"/>
        </w:rPr>
      </w:pPr>
      <w:r>
        <w:rPr>
          <w:sz w:val="24"/>
          <w:szCs w:val="24"/>
        </w:rPr>
        <w:lastRenderedPageBreak/>
        <w:t>***</w:t>
      </w:r>
      <w:r w:rsidR="00FD7E56">
        <w:rPr>
          <w:sz w:val="16"/>
          <w:szCs w:val="16"/>
        </w:rPr>
        <w:t xml:space="preserve"> </w:t>
      </w:r>
    </w:p>
    <w:p w:rsidR="003F67D0" w:rsidRPr="003F67D0" w:rsidRDefault="003F67D0" w:rsidP="003F67D0">
      <w:pPr>
        <w:jc w:val="both"/>
        <w:rPr>
          <w:i/>
          <w:iCs/>
          <w:sz w:val="16"/>
          <w:szCs w:val="16"/>
        </w:rPr>
      </w:pPr>
      <w:r w:rsidRPr="003F67D0">
        <w:rPr>
          <w:i/>
          <w:iCs/>
          <w:sz w:val="16"/>
          <w:szCs w:val="16"/>
        </w:rPr>
        <w:t xml:space="preserve">Niniejsza informacja jest materiałem reklamowym i promocyjnym w rozumieniu art. 53 ustawy z dnia 29 lipca 2005 r. o ofercie publicznej i warunkach wprowadzania instrumentów finansowych do zorganizowanego systemu obrotu oraz o spółkach publicznych (tekst jednolity </w:t>
      </w:r>
      <w:proofErr w:type="spellStart"/>
      <w:r w:rsidRPr="003F67D0">
        <w:rPr>
          <w:i/>
          <w:iCs/>
          <w:sz w:val="16"/>
          <w:szCs w:val="16"/>
        </w:rPr>
        <w:t>Dz.U</w:t>
      </w:r>
      <w:proofErr w:type="spellEnd"/>
      <w:r w:rsidRPr="003F67D0">
        <w:rPr>
          <w:i/>
          <w:iCs/>
          <w:sz w:val="16"/>
          <w:szCs w:val="16"/>
        </w:rPr>
        <w:t xml:space="preserve">. z 2013 roku poz. 1382). </w:t>
      </w:r>
      <w:r w:rsidRPr="003F67D0">
        <w:rPr>
          <w:i/>
          <w:sz w:val="16"/>
          <w:szCs w:val="16"/>
        </w:rPr>
        <w:t xml:space="preserve">Niniejszy materiał w żadnym przypadku nie stanowi oferty ani zaproszenia, jak również podstaw podjęcia decyzji w przedmiocie inwestowania w papiery wartościowe </w:t>
      </w:r>
      <w:r w:rsidRPr="003F67D0">
        <w:rPr>
          <w:i/>
          <w:iCs/>
          <w:sz w:val="16"/>
          <w:szCs w:val="16"/>
        </w:rPr>
        <w:t>Biura Inwestycji Kapitałowych S.A.</w:t>
      </w:r>
    </w:p>
    <w:p w:rsidR="003F67D0" w:rsidRPr="003F67D0" w:rsidRDefault="003F67D0" w:rsidP="003F67D0">
      <w:pPr>
        <w:jc w:val="both"/>
        <w:rPr>
          <w:b/>
          <w:i/>
          <w:sz w:val="16"/>
          <w:szCs w:val="16"/>
        </w:rPr>
      </w:pPr>
      <w:r w:rsidRPr="003F67D0">
        <w:rPr>
          <w:i/>
          <w:sz w:val="16"/>
          <w:szCs w:val="16"/>
        </w:rPr>
        <w:t xml:space="preserve">Prospekt </w:t>
      </w:r>
      <w:r w:rsidR="00FD7E56">
        <w:rPr>
          <w:i/>
          <w:sz w:val="16"/>
          <w:szCs w:val="16"/>
        </w:rPr>
        <w:t>E</w:t>
      </w:r>
      <w:r w:rsidRPr="003F67D0">
        <w:rPr>
          <w:i/>
          <w:sz w:val="16"/>
          <w:szCs w:val="16"/>
        </w:rPr>
        <w:t xml:space="preserve">misyjny, sporządzony w związku z ofertą publiczną akcji </w:t>
      </w:r>
      <w:r w:rsidR="00446E0B" w:rsidRPr="00446E0B">
        <w:rPr>
          <w:i/>
          <w:sz w:val="16"/>
          <w:szCs w:val="16"/>
        </w:rPr>
        <w:t>Biur</w:t>
      </w:r>
      <w:r w:rsidR="00FD7E56">
        <w:rPr>
          <w:i/>
          <w:sz w:val="16"/>
          <w:szCs w:val="16"/>
        </w:rPr>
        <w:t>a</w:t>
      </w:r>
      <w:r w:rsidR="00446E0B" w:rsidRPr="00446E0B">
        <w:rPr>
          <w:i/>
          <w:sz w:val="16"/>
          <w:szCs w:val="16"/>
        </w:rPr>
        <w:t xml:space="preserve"> Inwestycji Kapitałowych</w:t>
      </w:r>
      <w:r w:rsidRPr="00FD7E56">
        <w:rPr>
          <w:i/>
          <w:sz w:val="16"/>
          <w:szCs w:val="16"/>
        </w:rPr>
        <w:t xml:space="preserve"> S.A. </w:t>
      </w:r>
      <w:r w:rsidRPr="003F67D0">
        <w:rPr>
          <w:i/>
          <w:sz w:val="16"/>
          <w:szCs w:val="16"/>
        </w:rPr>
        <w:t>i ubieganiem się o</w:t>
      </w:r>
      <w:r w:rsidR="00FD7E56">
        <w:rPr>
          <w:i/>
          <w:sz w:val="16"/>
          <w:szCs w:val="16"/>
        </w:rPr>
        <w:t> </w:t>
      </w:r>
      <w:r w:rsidRPr="003F67D0">
        <w:rPr>
          <w:i/>
          <w:sz w:val="16"/>
          <w:szCs w:val="16"/>
        </w:rPr>
        <w:t xml:space="preserve">dopuszczenie oraz wprowadzenie papierów wartościowych </w:t>
      </w:r>
      <w:r w:rsidR="00FD7E56" w:rsidRPr="00FD7E56">
        <w:rPr>
          <w:i/>
          <w:sz w:val="16"/>
          <w:szCs w:val="16"/>
        </w:rPr>
        <w:t>Biur</w:t>
      </w:r>
      <w:r w:rsidR="00FD7E56">
        <w:rPr>
          <w:i/>
          <w:sz w:val="16"/>
          <w:szCs w:val="16"/>
        </w:rPr>
        <w:t>a</w:t>
      </w:r>
      <w:r w:rsidR="00FD7E56" w:rsidRPr="00FD7E56">
        <w:rPr>
          <w:i/>
          <w:sz w:val="16"/>
          <w:szCs w:val="16"/>
        </w:rPr>
        <w:t xml:space="preserve"> Inwestycji Kapitałowych</w:t>
      </w:r>
      <w:r w:rsidRPr="003F67D0">
        <w:rPr>
          <w:i/>
          <w:iCs/>
          <w:sz w:val="16"/>
          <w:szCs w:val="16"/>
        </w:rPr>
        <w:t xml:space="preserve"> S.A. </w:t>
      </w:r>
      <w:r w:rsidRPr="003F67D0">
        <w:rPr>
          <w:i/>
          <w:sz w:val="16"/>
          <w:szCs w:val="16"/>
        </w:rPr>
        <w:t xml:space="preserve">do obrotu na Giełdzie Papierów Wartościowych w Warszawie S.A., który w dniu </w:t>
      </w:r>
      <w:r w:rsidR="002A50A5">
        <w:rPr>
          <w:i/>
          <w:sz w:val="16"/>
          <w:szCs w:val="16"/>
        </w:rPr>
        <w:t xml:space="preserve">08.12.2015 </w:t>
      </w:r>
      <w:r w:rsidRPr="003F67D0">
        <w:rPr>
          <w:i/>
          <w:sz w:val="16"/>
          <w:szCs w:val="16"/>
        </w:rPr>
        <w:t xml:space="preserve">r. został zatwierdzony przez Komisję Nadzoru Finansowego, jest jedynym prawnie wiążącym dokumentem zawierającym informacje o </w:t>
      </w:r>
      <w:r w:rsidR="00FD7E56" w:rsidRPr="00FD7E56">
        <w:rPr>
          <w:i/>
          <w:sz w:val="16"/>
          <w:szCs w:val="16"/>
        </w:rPr>
        <w:t>Biur</w:t>
      </w:r>
      <w:r w:rsidR="00FD7E56">
        <w:rPr>
          <w:i/>
          <w:sz w:val="16"/>
          <w:szCs w:val="16"/>
        </w:rPr>
        <w:t>ze</w:t>
      </w:r>
      <w:r w:rsidR="00FD7E56" w:rsidRPr="00FD7E56">
        <w:rPr>
          <w:i/>
          <w:sz w:val="16"/>
          <w:szCs w:val="16"/>
        </w:rPr>
        <w:t xml:space="preserve"> Inwestycji Kapitałowych</w:t>
      </w:r>
      <w:r w:rsidRPr="003F67D0">
        <w:rPr>
          <w:i/>
          <w:sz w:val="16"/>
          <w:szCs w:val="16"/>
        </w:rPr>
        <w:t xml:space="preserve"> S.A. i </w:t>
      </w:r>
      <w:r w:rsidR="00FD7E56">
        <w:rPr>
          <w:i/>
          <w:sz w:val="16"/>
          <w:szCs w:val="16"/>
        </w:rPr>
        <w:t>o</w:t>
      </w:r>
      <w:r w:rsidRPr="003F67D0">
        <w:rPr>
          <w:i/>
          <w:sz w:val="16"/>
          <w:szCs w:val="16"/>
        </w:rPr>
        <w:t xml:space="preserve">fercie </w:t>
      </w:r>
      <w:r w:rsidR="00FD7E56">
        <w:rPr>
          <w:i/>
          <w:sz w:val="16"/>
          <w:szCs w:val="16"/>
        </w:rPr>
        <w:t>p</w:t>
      </w:r>
      <w:r w:rsidRPr="003F67D0">
        <w:rPr>
          <w:i/>
          <w:sz w:val="16"/>
          <w:szCs w:val="16"/>
        </w:rPr>
        <w:t xml:space="preserve">ublicznej. Prospekt </w:t>
      </w:r>
      <w:r w:rsidR="00FD7E56">
        <w:rPr>
          <w:i/>
          <w:sz w:val="16"/>
          <w:szCs w:val="16"/>
        </w:rPr>
        <w:t xml:space="preserve">Emisyjny </w:t>
      </w:r>
      <w:r w:rsidRPr="003F67D0">
        <w:rPr>
          <w:i/>
          <w:sz w:val="16"/>
          <w:szCs w:val="16"/>
        </w:rPr>
        <w:t xml:space="preserve">udostępniono na stronie internetowej </w:t>
      </w:r>
      <w:r w:rsidR="00FD7E56" w:rsidRPr="00FD7E56">
        <w:rPr>
          <w:i/>
          <w:sz w:val="16"/>
          <w:szCs w:val="16"/>
        </w:rPr>
        <w:t>Biur</w:t>
      </w:r>
      <w:r w:rsidR="00FD7E56">
        <w:rPr>
          <w:i/>
          <w:sz w:val="16"/>
          <w:szCs w:val="16"/>
        </w:rPr>
        <w:t>a</w:t>
      </w:r>
      <w:r w:rsidR="00FD7E56" w:rsidRPr="00FD7E56">
        <w:rPr>
          <w:i/>
          <w:sz w:val="16"/>
          <w:szCs w:val="16"/>
        </w:rPr>
        <w:t xml:space="preserve"> Inwestycji Kapitałowych</w:t>
      </w:r>
      <w:r w:rsidRPr="003F67D0">
        <w:rPr>
          <w:i/>
          <w:sz w:val="16"/>
          <w:szCs w:val="16"/>
        </w:rPr>
        <w:t xml:space="preserve"> S.A. </w:t>
      </w:r>
      <w:hyperlink r:id="rId8" w:history="1">
        <w:r w:rsidRPr="003F67D0">
          <w:rPr>
            <w:rStyle w:val="Hipercze"/>
            <w:i/>
            <w:sz w:val="16"/>
            <w:szCs w:val="16"/>
          </w:rPr>
          <w:t>www.bik.com.pl</w:t>
        </w:r>
      </w:hyperlink>
      <w:r w:rsidRPr="003F67D0">
        <w:rPr>
          <w:i/>
          <w:iCs/>
          <w:sz w:val="16"/>
          <w:szCs w:val="16"/>
        </w:rPr>
        <w:t xml:space="preserve"> i na stronie internetowej Domu Maklerskiego BDM S.A. pod adresem </w:t>
      </w:r>
      <w:hyperlink r:id="rId9" w:history="1">
        <w:r w:rsidR="00F36663" w:rsidRPr="00FA138F">
          <w:rPr>
            <w:rStyle w:val="Hipercze"/>
            <w:i/>
            <w:iCs/>
            <w:sz w:val="16"/>
            <w:szCs w:val="16"/>
          </w:rPr>
          <w:t>www.bdm.pl</w:t>
        </w:r>
      </w:hyperlink>
      <w:r w:rsidRPr="003F67D0">
        <w:rPr>
          <w:i/>
          <w:sz w:val="16"/>
          <w:szCs w:val="16"/>
        </w:rPr>
        <w:t>, na</w:t>
      </w:r>
      <w:r w:rsidR="005D6A47">
        <w:rPr>
          <w:i/>
          <w:sz w:val="16"/>
          <w:szCs w:val="16"/>
        </w:rPr>
        <w:t> </w:t>
      </w:r>
      <w:r w:rsidRPr="003F67D0">
        <w:rPr>
          <w:i/>
          <w:sz w:val="16"/>
          <w:szCs w:val="16"/>
        </w:rPr>
        <w:t>których to stronach znajdą się ewentualne aneksy i komunikaty aktualizujące do Prospektu</w:t>
      </w:r>
      <w:r w:rsidR="00FD7E56">
        <w:rPr>
          <w:i/>
          <w:sz w:val="16"/>
          <w:szCs w:val="16"/>
        </w:rPr>
        <w:t xml:space="preserve"> Emisyjnego</w:t>
      </w:r>
      <w:r w:rsidRPr="003F67D0">
        <w:rPr>
          <w:i/>
          <w:sz w:val="16"/>
          <w:szCs w:val="16"/>
        </w:rPr>
        <w:t xml:space="preserve">. Niniejszy materiał nie stanowi rekomendacji w rozumieniu </w:t>
      </w:r>
      <w:r w:rsidR="00FD7E56">
        <w:rPr>
          <w:i/>
          <w:sz w:val="16"/>
          <w:szCs w:val="16"/>
        </w:rPr>
        <w:t>r</w:t>
      </w:r>
      <w:r w:rsidRPr="003F67D0">
        <w:rPr>
          <w:i/>
          <w:sz w:val="16"/>
          <w:szCs w:val="16"/>
        </w:rPr>
        <w:t>ozporządzenia Ministra Finansów z dnia 19 października 2005</w:t>
      </w:r>
      <w:r w:rsidR="00FD7E56">
        <w:rPr>
          <w:i/>
          <w:sz w:val="16"/>
          <w:szCs w:val="16"/>
        </w:rPr>
        <w:t xml:space="preserve"> </w:t>
      </w:r>
      <w:r w:rsidRPr="003F67D0">
        <w:rPr>
          <w:i/>
          <w:sz w:val="16"/>
          <w:szCs w:val="16"/>
        </w:rPr>
        <w:t>r</w:t>
      </w:r>
      <w:r w:rsidR="00FD7E56">
        <w:rPr>
          <w:i/>
          <w:sz w:val="16"/>
          <w:szCs w:val="16"/>
        </w:rPr>
        <w:t>oku</w:t>
      </w:r>
      <w:r w:rsidRPr="003F67D0">
        <w:rPr>
          <w:i/>
          <w:sz w:val="16"/>
          <w:szCs w:val="16"/>
        </w:rPr>
        <w:t xml:space="preserve"> w sprawie informacji stanowiących rekomendacje dotyczącą instrumentów finansowych, ich emitentów lub wystawców. </w:t>
      </w:r>
      <w:r w:rsidR="00446E0B" w:rsidRPr="0078668B">
        <w:rPr>
          <w:i/>
          <w:sz w:val="16"/>
          <w:szCs w:val="16"/>
        </w:rPr>
        <w:t>Niniejszy materiał nie może być rozpowszechniany w Stanach Zjednoczonych Ameryki, Australii, Kanadzie i Japonii ani jakiejkolwiek innej jurysdykcji, w której stanowiłoby to naruszenie właściwych przepisów prawa lub wymagałoby rejestracji.</w:t>
      </w:r>
    </w:p>
    <w:p w:rsidR="00C80EC2" w:rsidRDefault="00C80EC2" w:rsidP="00C50730">
      <w:pPr>
        <w:rPr>
          <w:b/>
          <w:sz w:val="18"/>
          <w:szCs w:val="18"/>
        </w:rPr>
      </w:pPr>
    </w:p>
    <w:p w:rsidR="00C50730" w:rsidRPr="009B3B3C" w:rsidRDefault="00C50730" w:rsidP="00C50730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>
        <w:rPr>
          <w:sz w:val="18"/>
          <w:szCs w:val="18"/>
        </w:rPr>
        <w:t>Agencja Tauber Promotion</w:t>
      </w:r>
    </w:p>
    <w:p w:rsidR="00C50730" w:rsidRDefault="00C50730" w:rsidP="00C50730">
      <w:pPr>
        <w:pStyle w:val="Stopka"/>
        <w:rPr>
          <w:sz w:val="18"/>
          <w:szCs w:val="18"/>
        </w:rPr>
      </w:pP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C50730" w:rsidRPr="006A5865" w:rsidRDefault="00C50730" w:rsidP="00C50730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10" w:history="1">
        <w:r w:rsidRPr="006A5865">
          <w:rPr>
            <w:rStyle w:val="Hipercze"/>
            <w:sz w:val="18"/>
          </w:rPr>
          <w:t>mskowronek@tauber.com.pl</w:t>
        </w:r>
      </w:hyperlink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11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C50730" w:rsidRPr="00D832DC" w:rsidRDefault="00C50730" w:rsidP="00C50730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C50730" w:rsidRPr="008E05BA" w:rsidRDefault="00C50730" w:rsidP="006A0C2F">
      <w:pPr>
        <w:spacing w:line="240" w:lineRule="auto"/>
        <w:jc w:val="both"/>
      </w:pPr>
    </w:p>
    <w:sectPr w:rsidR="00C50730" w:rsidRPr="008E05BA" w:rsidSect="00F36663">
      <w:headerReference w:type="default" r:id="rId12"/>
      <w:footerReference w:type="default" r:id="rId13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67C38" w15:done="0"/>
  <w15:commentEx w15:paraId="72285B6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11" w:rsidRDefault="00BA2B11" w:rsidP="00FE39FB">
      <w:pPr>
        <w:spacing w:after="0" w:line="240" w:lineRule="auto"/>
      </w:pPr>
      <w:r>
        <w:separator/>
      </w:r>
    </w:p>
  </w:endnote>
  <w:endnote w:type="continuationSeparator" w:id="0">
    <w:p w:rsidR="00BA2B11" w:rsidRDefault="00BA2B11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5" w:rsidRDefault="002A50A5">
    <w:pPr>
      <w:pStyle w:val="Stopka"/>
    </w:pPr>
    <w:r w:rsidRPr="0061617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213688</wp:posOffset>
          </wp:positionV>
          <wp:extent cx="5760654" cy="425604"/>
          <wp:effectExtent l="0" t="0" r="9525" b="9525"/>
          <wp:wrapNone/>
          <wp:docPr id="4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11" w:rsidRDefault="00BA2B11" w:rsidP="00FE39FB">
      <w:pPr>
        <w:spacing w:after="0" w:line="240" w:lineRule="auto"/>
      </w:pPr>
      <w:r>
        <w:separator/>
      </w:r>
    </w:p>
  </w:footnote>
  <w:footnote w:type="continuationSeparator" w:id="0">
    <w:p w:rsidR="00BA2B11" w:rsidRDefault="00BA2B11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A5" w:rsidRPr="00FE39FB" w:rsidRDefault="002A50A5" w:rsidP="00FE39FB">
    <w:pPr>
      <w:pStyle w:val="Nagwek"/>
    </w:pPr>
    <w:r w:rsidRPr="0061617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873" cy="116664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3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01C75"/>
    <w:multiLevelType w:val="hybridMultilevel"/>
    <w:tmpl w:val="1F2C2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45F96"/>
    <w:multiLevelType w:val="hybridMultilevel"/>
    <w:tmpl w:val="85D6F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462F"/>
    <w:multiLevelType w:val="hybridMultilevel"/>
    <w:tmpl w:val="4E18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F6D1E"/>
    <w:multiLevelType w:val="hybridMultilevel"/>
    <w:tmpl w:val="B934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Nowak">
    <w15:presenceInfo w15:providerId="Windows Live" w15:userId="60b5c72d21925642"/>
  </w15:person>
  <w15:person w15:author="Piotr Jaśniak">
    <w15:presenceInfo w15:providerId="None" w15:userId="Piotr Jaśni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1477E"/>
    <w:rsid w:val="00016802"/>
    <w:rsid w:val="00026C86"/>
    <w:rsid w:val="00030767"/>
    <w:rsid w:val="00034F07"/>
    <w:rsid w:val="00036B1D"/>
    <w:rsid w:val="00037150"/>
    <w:rsid w:val="000437DF"/>
    <w:rsid w:val="00044FF6"/>
    <w:rsid w:val="000467C1"/>
    <w:rsid w:val="0004769D"/>
    <w:rsid w:val="0007140A"/>
    <w:rsid w:val="00075935"/>
    <w:rsid w:val="0008225A"/>
    <w:rsid w:val="00090F0F"/>
    <w:rsid w:val="0009164C"/>
    <w:rsid w:val="000A17D8"/>
    <w:rsid w:val="000B1DE8"/>
    <w:rsid w:val="000B6178"/>
    <w:rsid w:val="000C00D1"/>
    <w:rsid w:val="000C34AA"/>
    <w:rsid w:val="000C4531"/>
    <w:rsid w:val="000C7A2C"/>
    <w:rsid w:val="000F136F"/>
    <w:rsid w:val="000F648D"/>
    <w:rsid w:val="001102F4"/>
    <w:rsid w:val="00126981"/>
    <w:rsid w:val="00134F72"/>
    <w:rsid w:val="00140350"/>
    <w:rsid w:val="00140EFF"/>
    <w:rsid w:val="001415A2"/>
    <w:rsid w:val="00145338"/>
    <w:rsid w:val="001460ED"/>
    <w:rsid w:val="00150980"/>
    <w:rsid w:val="00151372"/>
    <w:rsid w:val="00153859"/>
    <w:rsid w:val="00163F51"/>
    <w:rsid w:val="001648BF"/>
    <w:rsid w:val="00192F57"/>
    <w:rsid w:val="001967E8"/>
    <w:rsid w:val="001A2E6C"/>
    <w:rsid w:val="001E383D"/>
    <w:rsid w:val="001E3F0B"/>
    <w:rsid w:val="001F558D"/>
    <w:rsid w:val="00214316"/>
    <w:rsid w:val="00227A2E"/>
    <w:rsid w:val="00233EE1"/>
    <w:rsid w:val="002343E8"/>
    <w:rsid w:val="00235B25"/>
    <w:rsid w:val="00236A5E"/>
    <w:rsid w:val="002453B7"/>
    <w:rsid w:val="00247107"/>
    <w:rsid w:val="00255D5A"/>
    <w:rsid w:val="00256D5B"/>
    <w:rsid w:val="00273278"/>
    <w:rsid w:val="00273720"/>
    <w:rsid w:val="00283EBE"/>
    <w:rsid w:val="002A073A"/>
    <w:rsid w:val="002A50A5"/>
    <w:rsid w:val="002B09F5"/>
    <w:rsid w:val="002B3CDF"/>
    <w:rsid w:val="002B6FAE"/>
    <w:rsid w:val="002C42FA"/>
    <w:rsid w:val="002D3A16"/>
    <w:rsid w:val="002E3392"/>
    <w:rsid w:val="002F04F1"/>
    <w:rsid w:val="003029CF"/>
    <w:rsid w:val="00302D4F"/>
    <w:rsid w:val="0032614F"/>
    <w:rsid w:val="00331863"/>
    <w:rsid w:val="00332FCD"/>
    <w:rsid w:val="0034020D"/>
    <w:rsid w:val="00341106"/>
    <w:rsid w:val="00345336"/>
    <w:rsid w:val="0035209F"/>
    <w:rsid w:val="00375393"/>
    <w:rsid w:val="0038011C"/>
    <w:rsid w:val="00385667"/>
    <w:rsid w:val="0039282D"/>
    <w:rsid w:val="003C10BB"/>
    <w:rsid w:val="003C1E51"/>
    <w:rsid w:val="003C22F2"/>
    <w:rsid w:val="003C39EB"/>
    <w:rsid w:val="003C60AB"/>
    <w:rsid w:val="003D3D04"/>
    <w:rsid w:val="003D41C8"/>
    <w:rsid w:val="003D4D0A"/>
    <w:rsid w:val="003D7338"/>
    <w:rsid w:val="003E2055"/>
    <w:rsid w:val="003E33EC"/>
    <w:rsid w:val="003F67D0"/>
    <w:rsid w:val="00400707"/>
    <w:rsid w:val="004106C8"/>
    <w:rsid w:val="004116FD"/>
    <w:rsid w:val="00414985"/>
    <w:rsid w:val="00416D65"/>
    <w:rsid w:val="004210F7"/>
    <w:rsid w:val="00424A12"/>
    <w:rsid w:val="004276DC"/>
    <w:rsid w:val="00446E0B"/>
    <w:rsid w:val="00450D3E"/>
    <w:rsid w:val="0046024F"/>
    <w:rsid w:val="00473003"/>
    <w:rsid w:val="0047542A"/>
    <w:rsid w:val="00481602"/>
    <w:rsid w:val="00482F1B"/>
    <w:rsid w:val="00485125"/>
    <w:rsid w:val="004A0D0F"/>
    <w:rsid w:val="004C7DA9"/>
    <w:rsid w:val="004D1E33"/>
    <w:rsid w:val="004E0E4D"/>
    <w:rsid w:val="004E1824"/>
    <w:rsid w:val="004E40B9"/>
    <w:rsid w:val="004E79C5"/>
    <w:rsid w:val="00503AAE"/>
    <w:rsid w:val="0051052E"/>
    <w:rsid w:val="0051723E"/>
    <w:rsid w:val="005266AC"/>
    <w:rsid w:val="005356AE"/>
    <w:rsid w:val="005418DC"/>
    <w:rsid w:val="00542280"/>
    <w:rsid w:val="0054724E"/>
    <w:rsid w:val="00557088"/>
    <w:rsid w:val="005670FF"/>
    <w:rsid w:val="00571BA1"/>
    <w:rsid w:val="00582CC2"/>
    <w:rsid w:val="00596EB7"/>
    <w:rsid w:val="005A360B"/>
    <w:rsid w:val="005A4997"/>
    <w:rsid w:val="005D007E"/>
    <w:rsid w:val="005D381E"/>
    <w:rsid w:val="005D6A47"/>
    <w:rsid w:val="005D6DE1"/>
    <w:rsid w:val="005F0FA7"/>
    <w:rsid w:val="00606398"/>
    <w:rsid w:val="0061029F"/>
    <w:rsid w:val="00613DA4"/>
    <w:rsid w:val="0061617C"/>
    <w:rsid w:val="0062362B"/>
    <w:rsid w:val="0063144C"/>
    <w:rsid w:val="00634D35"/>
    <w:rsid w:val="00644BAE"/>
    <w:rsid w:val="006453D6"/>
    <w:rsid w:val="00650770"/>
    <w:rsid w:val="00661AD1"/>
    <w:rsid w:val="00670B04"/>
    <w:rsid w:val="00671AEA"/>
    <w:rsid w:val="00671D5C"/>
    <w:rsid w:val="00677A0F"/>
    <w:rsid w:val="0068112C"/>
    <w:rsid w:val="00690369"/>
    <w:rsid w:val="006913EE"/>
    <w:rsid w:val="00692672"/>
    <w:rsid w:val="006976A7"/>
    <w:rsid w:val="006A0C2F"/>
    <w:rsid w:val="006A1D8B"/>
    <w:rsid w:val="006B7C01"/>
    <w:rsid w:val="006C6432"/>
    <w:rsid w:val="006D547D"/>
    <w:rsid w:val="006D7175"/>
    <w:rsid w:val="006D726A"/>
    <w:rsid w:val="006E0B8E"/>
    <w:rsid w:val="006F37A1"/>
    <w:rsid w:val="00710914"/>
    <w:rsid w:val="00710B7A"/>
    <w:rsid w:val="00736DA0"/>
    <w:rsid w:val="00761F87"/>
    <w:rsid w:val="00766993"/>
    <w:rsid w:val="0078668B"/>
    <w:rsid w:val="00796A9C"/>
    <w:rsid w:val="007A1BC6"/>
    <w:rsid w:val="007A67B4"/>
    <w:rsid w:val="007D083E"/>
    <w:rsid w:val="007D2887"/>
    <w:rsid w:val="007E219D"/>
    <w:rsid w:val="007E4A0B"/>
    <w:rsid w:val="007E7FDE"/>
    <w:rsid w:val="007F4B83"/>
    <w:rsid w:val="007F7C43"/>
    <w:rsid w:val="0080672A"/>
    <w:rsid w:val="00816AEC"/>
    <w:rsid w:val="00821E8F"/>
    <w:rsid w:val="00824238"/>
    <w:rsid w:val="0082667D"/>
    <w:rsid w:val="00830D2A"/>
    <w:rsid w:val="0084100A"/>
    <w:rsid w:val="00842DE4"/>
    <w:rsid w:val="008470E6"/>
    <w:rsid w:val="00847100"/>
    <w:rsid w:val="00850081"/>
    <w:rsid w:val="00860D5B"/>
    <w:rsid w:val="00862497"/>
    <w:rsid w:val="00865C0D"/>
    <w:rsid w:val="008717CA"/>
    <w:rsid w:val="008806E1"/>
    <w:rsid w:val="008939BD"/>
    <w:rsid w:val="008B2102"/>
    <w:rsid w:val="008C5D77"/>
    <w:rsid w:val="008C7760"/>
    <w:rsid w:val="008D30C8"/>
    <w:rsid w:val="008D3989"/>
    <w:rsid w:val="008E05BA"/>
    <w:rsid w:val="008F5963"/>
    <w:rsid w:val="00904453"/>
    <w:rsid w:val="009136A6"/>
    <w:rsid w:val="00933963"/>
    <w:rsid w:val="00957FEB"/>
    <w:rsid w:val="00973B56"/>
    <w:rsid w:val="009B0150"/>
    <w:rsid w:val="009B3B3C"/>
    <w:rsid w:val="009B4AA5"/>
    <w:rsid w:val="009D18B6"/>
    <w:rsid w:val="009D599E"/>
    <w:rsid w:val="009E69A3"/>
    <w:rsid w:val="00A06B8F"/>
    <w:rsid w:val="00A27C2E"/>
    <w:rsid w:val="00A31D8B"/>
    <w:rsid w:val="00A3465C"/>
    <w:rsid w:val="00A440C9"/>
    <w:rsid w:val="00A45398"/>
    <w:rsid w:val="00A466C7"/>
    <w:rsid w:val="00A54A16"/>
    <w:rsid w:val="00A62005"/>
    <w:rsid w:val="00A72819"/>
    <w:rsid w:val="00A865E9"/>
    <w:rsid w:val="00A96C99"/>
    <w:rsid w:val="00AA5711"/>
    <w:rsid w:val="00AA5CF8"/>
    <w:rsid w:val="00AB2243"/>
    <w:rsid w:val="00AB3CCD"/>
    <w:rsid w:val="00AC3981"/>
    <w:rsid w:val="00AC58E0"/>
    <w:rsid w:val="00AE0CF9"/>
    <w:rsid w:val="00AF4A13"/>
    <w:rsid w:val="00AF777E"/>
    <w:rsid w:val="00B11E9A"/>
    <w:rsid w:val="00B30F90"/>
    <w:rsid w:val="00B32AF7"/>
    <w:rsid w:val="00B378C5"/>
    <w:rsid w:val="00B42CCD"/>
    <w:rsid w:val="00B453AC"/>
    <w:rsid w:val="00B47D57"/>
    <w:rsid w:val="00B53A29"/>
    <w:rsid w:val="00B65AB4"/>
    <w:rsid w:val="00B737ED"/>
    <w:rsid w:val="00B801CE"/>
    <w:rsid w:val="00B81957"/>
    <w:rsid w:val="00B82377"/>
    <w:rsid w:val="00B8586C"/>
    <w:rsid w:val="00B92247"/>
    <w:rsid w:val="00B94F76"/>
    <w:rsid w:val="00BA0F00"/>
    <w:rsid w:val="00BA2B11"/>
    <w:rsid w:val="00BB24FA"/>
    <w:rsid w:val="00BB295A"/>
    <w:rsid w:val="00BB4BC9"/>
    <w:rsid w:val="00BB6388"/>
    <w:rsid w:val="00BC2841"/>
    <w:rsid w:val="00BC3FBA"/>
    <w:rsid w:val="00BC6726"/>
    <w:rsid w:val="00BD00DC"/>
    <w:rsid w:val="00BD219D"/>
    <w:rsid w:val="00BE5870"/>
    <w:rsid w:val="00BE6F34"/>
    <w:rsid w:val="00BF0CEC"/>
    <w:rsid w:val="00BF4302"/>
    <w:rsid w:val="00C02F07"/>
    <w:rsid w:val="00C03124"/>
    <w:rsid w:val="00C036F2"/>
    <w:rsid w:val="00C03706"/>
    <w:rsid w:val="00C13F4F"/>
    <w:rsid w:val="00C17781"/>
    <w:rsid w:val="00C25BF7"/>
    <w:rsid w:val="00C31DF6"/>
    <w:rsid w:val="00C341C7"/>
    <w:rsid w:val="00C347C4"/>
    <w:rsid w:val="00C445DE"/>
    <w:rsid w:val="00C50730"/>
    <w:rsid w:val="00C52DC9"/>
    <w:rsid w:val="00C54375"/>
    <w:rsid w:val="00C6346A"/>
    <w:rsid w:val="00C63905"/>
    <w:rsid w:val="00C63EDA"/>
    <w:rsid w:val="00C70DA6"/>
    <w:rsid w:val="00C80EC2"/>
    <w:rsid w:val="00C834F0"/>
    <w:rsid w:val="00C919C8"/>
    <w:rsid w:val="00C93597"/>
    <w:rsid w:val="00C95455"/>
    <w:rsid w:val="00CA7727"/>
    <w:rsid w:val="00CB38AF"/>
    <w:rsid w:val="00CB6577"/>
    <w:rsid w:val="00CC419D"/>
    <w:rsid w:val="00CC7CA7"/>
    <w:rsid w:val="00CE7575"/>
    <w:rsid w:val="00CE796B"/>
    <w:rsid w:val="00CF2A2D"/>
    <w:rsid w:val="00CF62F8"/>
    <w:rsid w:val="00CF7309"/>
    <w:rsid w:val="00D0562F"/>
    <w:rsid w:val="00D071BB"/>
    <w:rsid w:val="00D11C07"/>
    <w:rsid w:val="00D17BDE"/>
    <w:rsid w:val="00D20037"/>
    <w:rsid w:val="00D2505E"/>
    <w:rsid w:val="00D25614"/>
    <w:rsid w:val="00D25B42"/>
    <w:rsid w:val="00D3706F"/>
    <w:rsid w:val="00D44BA7"/>
    <w:rsid w:val="00D51C10"/>
    <w:rsid w:val="00D56FA6"/>
    <w:rsid w:val="00D65553"/>
    <w:rsid w:val="00D71536"/>
    <w:rsid w:val="00D740B8"/>
    <w:rsid w:val="00D74722"/>
    <w:rsid w:val="00D80800"/>
    <w:rsid w:val="00D92AD0"/>
    <w:rsid w:val="00D9680A"/>
    <w:rsid w:val="00D97A78"/>
    <w:rsid w:val="00D97D1A"/>
    <w:rsid w:val="00DA2F1C"/>
    <w:rsid w:val="00DB3FAB"/>
    <w:rsid w:val="00DB5D04"/>
    <w:rsid w:val="00DC008D"/>
    <w:rsid w:val="00DC0459"/>
    <w:rsid w:val="00DC4F18"/>
    <w:rsid w:val="00DE0E0F"/>
    <w:rsid w:val="00DE2F2B"/>
    <w:rsid w:val="00E03A6F"/>
    <w:rsid w:val="00E14427"/>
    <w:rsid w:val="00E15FCB"/>
    <w:rsid w:val="00E179DB"/>
    <w:rsid w:val="00E23AAB"/>
    <w:rsid w:val="00E3084F"/>
    <w:rsid w:val="00E36908"/>
    <w:rsid w:val="00E4283F"/>
    <w:rsid w:val="00E67092"/>
    <w:rsid w:val="00E7012A"/>
    <w:rsid w:val="00E7782C"/>
    <w:rsid w:val="00E91629"/>
    <w:rsid w:val="00EB6F46"/>
    <w:rsid w:val="00EC153A"/>
    <w:rsid w:val="00EC3379"/>
    <w:rsid w:val="00EC7C4A"/>
    <w:rsid w:val="00ED142A"/>
    <w:rsid w:val="00EE3B89"/>
    <w:rsid w:val="00EE47CA"/>
    <w:rsid w:val="00EE4E6E"/>
    <w:rsid w:val="00EF019C"/>
    <w:rsid w:val="00EF546F"/>
    <w:rsid w:val="00F0451F"/>
    <w:rsid w:val="00F1384F"/>
    <w:rsid w:val="00F149A7"/>
    <w:rsid w:val="00F34888"/>
    <w:rsid w:val="00F36663"/>
    <w:rsid w:val="00F36B03"/>
    <w:rsid w:val="00F54B95"/>
    <w:rsid w:val="00F650CC"/>
    <w:rsid w:val="00F81421"/>
    <w:rsid w:val="00F92AF4"/>
    <w:rsid w:val="00FB09B2"/>
    <w:rsid w:val="00FB55AF"/>
    <w:rsid w:val="00FC5559"/>
    <w:rsid w:val="00FD7E56"/>
    <w:rsid w:val="00FE0B69"/>
    <w:rsid w:val="00FE39FB"/>
    <w:rsid w:val="00FE4045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  <w:style w:type="paragraph" w:styleId="Tekstpodstawowy">
    <w:name w:val="Body Text"/>
    <w:basedOn w:val="Normalny"/>
    <w:link w:val="TekstpodstawowyZnak"/>
    <w:rsid w:val="003E33EC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33E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3E33EC"/>
    <w:pPr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com.pl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bdm.pl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azimierczak@tauber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skowronek@tauber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d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 Kazimieczak</cp:lastModifiedBy>
  <cp:revision>3</cp:revision>
  <dcterms:created xsi:type="dcterms:W3CDTF">2015-12-08T14:41:00Z</dcterms:created>
  <dcterms:modified xsi:type="dcterms:W3CDTF">2015-12-14T08:13:00Z</dcterms:modified>
</cp:coreProperties>
</file>